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pacing w:after="0" w:line="360" w:lineRule="auto"/>
        <w:rPr>
          <w:color w:val="auto"/>
        </w:rPr>
      </w:pPr>
      <w:bookmarkStart w:id="0" w:name="bookmark31"/>
      <w:bookmarkStart w:id="1" w:name="bookmark29"/>
      <w:bookmarkStart w:id="2" w:name="bookmark30"/>
      <w:r>
        <w:rPr>
          <w:rFonts w:hint="eastAsia" w:ascii="黑体" w:hAnsi="黑体" w:eastAsia="黑体" w:cs="黑体"/>
          <w:color w:val="auto"/>
          <w:sz w:val="36"/>
          <w:szCs w:val="36"/>
        </w:rPr>
        <w:t>区县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（自治县）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绿色建筑与节能管理工作基本情况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检查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表</w:t>
      </w:r>
      <w:bookmarkEnd w:id="0"/>
      <w:bookmarkEnd w:id="1"/>
      <w:bookmarkEnd w:id="2"/>
    </w:p>
    <w:p>
      <w:pPr>
        <w:pStyle w:val="5"/>
        <w:tabs>
          <w:tab w:val="left" w:pos="3442"/>
        </w:tabs>
        <w:ind w:left="144"/>
        <w:rPr>
          <w:rFonts w:ascii="方正仿宋_GBK" w:hAnsi="方正仿宋_GBK" w:eastAsia="方正仿宋_GBK" w:cs="方正仿宋_GBK"/>
          <w:color w:val="auto"/>
          <w:sz w:val="22"/>
          <w:szCs w:val="22"/>
        </w:rPr>
      </w:pPr>
      <w:r>
        <w:rPr>
          <w:rFonts w:hint="eastAsia" w:ascii="方正仿宋_GBK" w:hAnsi="方正仿宋_GBK" w:eastAsia="方正仿宋_GBK" w:cs="方正仿宋_GBK"/>
          <w:color w:val="auto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u w:val="single"/>
        </w:rPr>
        <w:tab/>
      </w:r>
      <w:r>
        <w:rPr>
          <w:rFonts w:hint="eastAsia" w:ascii="方正仿宋_GBK" w:hAnsi="方正仿宋_GBK" w:eastAsia="方正仿宋_GBK" w:cs="方正仿宋_GBK"/>
          <w:color w:val="auto"/>
          <w:sz w:val="22"/>
          <w:szCs w:val="22"/>
        </w:rPr>
        <w:t xml:space="preserve"> （区、县）住房城乡建设主管部门 盖章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52"/>
        <w:gridCol w:w="1200"/>
        <w:gridCol w:w="4710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152" w:type="dxa"/>
            <w:shd w:val="clear" w:color="auto" w:fill="FFFFFF"/>
          </w:tcPr>
          <w:p>
            <w:pPr>
              <w:pStyle w:val="6"/>
              <w:spacing w:line="331" w:lineRule="exact"/>
              <w:jc w:val="center"/>
              <w:rPr>
                <w:rFonts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0"/>
                <w:szCs w:val="20"/>
              </w:rPr>
              <w:t>工作</w:t>
            </w:r>
          </w:p>
          <w:p>
            <w:pPr>
              <w:pStyle w:val="6"/>
              <w:spacing w:line="331" w:lineRule="exact"/>
              <w:jc w:val="center"/>
              <w:rPr>
                <w:rFonts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0"/>
                <w:szCs w:val="20"/>
              </w:rPr>
              <w:t>类别</w:t>
            </w:r>
          </w:p>
        </w:tc>
        <w:tc>
          <w:tcPr>
            <w:tcW w:w="5910" w:type="dxa"/>
            <w:gridSpan w:val="2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0"/>
                <w:szCs w:val="20"/>
              </w:rPr>
              <w:t>具体内容</w:t>
            </w:r>
          </w:p>
        </w:tc>
        <w:tc>
          <w:tcPr>
            <w:tcW w:w="2154" w:type="dxa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0"/>
                <w:szCs w:val="20"/>
              </w:rPr>
              <w:t>支撑资料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79" w:hRule="exact"/>
          <w:jc w:val="center"/>
        </w:trPr>
        <w:tc>
          <w:tcPr>
            <w:tcW w:w="1152" w:type="dxa"/>
            <w:shd w:val="clear" w:color="auto" w:fill="FFFFFF"/>
            <w:vAlign w:val="center"/>
          </w:tcPr>
          <w:p>
            <w:pPr>
              <w:pStyle w:val="6"/>
              <w:spacing w:line="367" w:lineRule="exact"/>
              <w:jc w:val="center"/>
              <w:rPr>
                <w:rFonts w:ascii="Times New Roman" w:hAnsi="Times New Roman" w:eastAsia="方正仿宋_GBK" w:cs="Times New Roman"/>
                <w:color w:val="auto"/>
              </w:rPr>
            </w:pPr>
            <w:r>
              <w:rPr>
                <w:rFonts w:ascii="Times New Roman" w:hAnsi="Times New Roman" w:eastAsia="方正仿宋_GBK" w:cs="Times New Roman"/>
                <w:color w:val="auto"/>
              </w:rPr>
              <w:t>管理</w:t>
            </w:r>
            <w:r>
              <w:rPr>
                <w:rFonts w:hint="eastAsia" w:ascii="Times New Roman" w:hAnsi="Times New Roman" w:eastAsia="方正仿宋_GBK" w:cs="Times New Roman"/>
                <w:color w:val="auto"/>
              </w:rPr>
              <w:t>体制建设</w:t>
            </w:r>
            <w:r>
              <w:rPr>
                <w:rFonts w:ascii="Times New Roman" w:hAnsi="Times New Roman" w:eastAsia="方正仿宋_GBK" w:cs="Times New Roman"/>
                <w:color w:val="auto"/>
              </w:rPr>
              <w:t>情况</w:t>
            </w:r>
          </w:p>
        </w:tc>
        <w:tc>
          <w:tcPr>
            <w:tcW w:w="5910" w:type="dxa"/>
            <w:gridSpan w:val="2"/>
            <w:shd w:val="clear" w:color="auto" w:fill="FFFFFF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356" w:lineRule="exact"/>
              <w:jc w:val="both"/>
              <w:rPr>
                <w:rFonts w:ascii="Times New Roman" w:hAnsi="Times New Roman" w:eastAsia="方正仿宋_GBK" w:cs="Times New Roman"/>
                <w:color w:val="auto"/>
              </w:rPr>
            </w:pPr>
            <w:r>
              <w:rPr>
                <w:rFonts w:ascii="Times New Roman" w:hAnsi="Times New Roman" w:eastAsia="方正仿宋_GBK" w:cs="Times New Roman"/>
                <w:color w:val="auto"/>
              </w:rPr>
              <w:t>（是/否）制定发布绿色建筑与节能专项规划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  <w:t>。</w:t>
            </w:r>
          </w:p>
          <w:p>
            <w:pPr>
              <w:pStyle w:val="6"/>
              <w:numPr>
                <w:ilvl w:val="0"/>
                <w:numId w:val="1"/>
              </w:numPr>
              <w:spacing w:line="356" w:lineRule="exact"/>
              <w:jc w:val="both"/>
              <w:rPr>
                <w:rFonts w:ascii="Times New Roman" w:hAnsi="Times New Roman" w:eastAsia="方正仿宋_GBK" w:cs="Times New Roman"/>
                <w:color w:val="auto"/>
              </w:rPr>
            </w:pPr>
            <w:r>
              <w:rPr>
                <w:rFonts w:ascii="Times New Roman" w:hAnsi="Times New Roman" w:eastAsia="方正仿宋_GBK" w:cs="Times New Roman"/>
                <w:color w:val="auto"/>
              </w:rPr>
              <w:t>（是/否）建立与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  <w:t>绿色建筑与节能</w:t>
            </w:r>
            <w:r>
              <w:rPr>
                <w:rFonts w:ascii="Times New Roman" w:hAnsi="Times New Roman" w:eastAsia="方正仿宋_GBK" w:cs="Times New Roman"/>
                <w:color w:val="auto"/>
              </w:rPr>
              <w:t>目标相挂钩的责任制和考核制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  <w:t>；</w:t>
            </w:r>
          </w:p>
          <w:p>
            <w:pPr>
              <w:pStyle w:val="6"/>
              <w:numPr>
                <w:ilvl w:val="0"/>
                <w:numId w:val="1"/>
              </w:numPr>
              <w:spacing w:line="356" w:lineRule="exact"/>
              <w:jc w:val="both"/>
              <w:rPr>
                <w:rFonts w:ascii="Times New Roman" w:hAnsi="Times New Roman" w:eastAsia="方正仿宋_GBK" w:cs="Times New Roman"/>
                <w:color w:val="auto"/>
              </w:rPr>
            </w:pPr>
            <w:r>
              <w:rPr>
                <w:rFonts w:ascii="Times New Roman" w:hAnsi="Times New Roman" w:eastAsia="方正仿宋_GBK" w:cs="Times New Roman"/>
                <w:color w:val="auto"/>
              </w:rPr>
              <w:t>（是/否）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建立了绿色建筑标识管理制度并</w:t>
            </w:r>
            <w:r>
              <w:rPr>
                <w:rFonts w:hint="eastAsia" w:ascii="Times New Roman" w:hAnsi="Times New Roman" w:eastAsia="方正仿宋_GBK" w:cs="Times New Roman"/>
                <w:color w:val="auto"/>
              </w:rPr>
              <w:t>开展一星级绿色建筑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认定</w:t>
            </w:r>
            <w:r>
              <w:rPr>
                <w:rFonts w:hint="eastAsia" w:ascii="Times New Roman" w:hAnsi="Times New Roman" w:eastAsia="方正仿宋_GBK" w:cs="Times New Roman"/>
                <w:color w:val="auto"/>
              </w:rPr>
              <w:t>工作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  <w:t>；</w:t>
            </w:r>
          </w:p>
        </w:tc>
        <w:tc>
          <w:tcPr>
            <w:tcW w:w="2154" w:type="dxa"/>
            <w:shd w:val="clear" w:color="auto" w:fill="FFFFFF"/>
          </w:tcPr>
          <w:p>
            <w:pPr>
              <w:rPr>
                <w:color w:val="auto"/>
                <w:sz w:val="10"/>
                <w:szCs w:val="1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64" w:hRule="exact"/>
          <w:jc w:val="center"/>
        </w:trPr>
        <w:tc>
          <w:tcPr>
            <w:tcW w:w="1152" w:type="dxa"/>
            <w:shd w:val="clear" w:color="auto" w:fill="FFFFFF"/>
            <w:vAlign w:val="center"/>
          </w:tcPr>
          <w:p>
            <w:pPr>
              <w:pStyle w:val="6"/>
              <w:spacing w:line="367" w:lineRule="exact"/>
              <w:jc w:val="center"/>
              <w:rPr>
                <w:rFonts w:ascii="Times New Roman" w:hAnsi="Times New Roman" w:eastAsia="方正仿宋_GBK" w:cs="Times New Roman"/>
                <w:color w:val="auto"/>
              </w:rPr>
            </w:pPr>
            <w:r>
              <w:rPr>
                <w:rFonts w:ascii="Times New Roman" w:hAnsi="Times New Roman" w:eastAsia="方正仿宋_GBK" w:cs="Times New Roman"/>
                <w:color w:val="auto"/>
              </w:rPr>
              <w:t>监管</w:t>
            </w:r>
            <w:r>
              <w:rPr>
                <w:rFonts w:hint="eastAsia" w:ascii="Times New Roman" w:hAnsi="Times New Roman" w:eastAsia="方正仿宋_GBK" w:cs="Times New Roman"/>
                <w:color w:val="auto"/>
              </w:rPr>
              <w:t>职责</w:t>
            </w:r>
            <w:r>
              <w:rPr>
                <w:rFonts w:ascii="Times New Roman" w:hAnsi="Times New Roman" w:eastAsia="方正仿宋_GBK" w:cs="Times New Roman"/>
                <w:color w:val="auto"/>
              </w:rPr>
              <w:t>履行</w:t>
            </w:r>
            <w:r>
              <w:rPr>
                <w:rFonts w:hint="eastAsia" w:ascii="Times New Roman" w:hAnsi="Times New Roman" w:eastAsia="方正仿宋_GBK" w:cs="Times New Roman"/>
                <w:color w:val="auto"/>
              </w:rPr>
              <w:t>情况</w:t>
            </w:r>
          </w:p>
        </w:tc>
        <w:tc>
          <w:tcPr>
            <w:tcW w:w="5910" w:type="dxa"/>
            <w:gridSpan w:val="2"/>
            <w:shd w:val="clear" w:color="auto" w:fill="FFFFFF"/>
            <w:vAlign w:val="center"/>
          </w:tcPr>
          <w:p>
            <w:pPr>
              <w:pStyle w:val="6"/>
              <w:spacing w:line="356" w:lineRule="exact"/>
              <w:jc w:val="both"/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 w:eastAsiaTheme="minorEastAsia"/>
                <w:color w:val="auto"/>
                <w:lang w:eastAsia="zh-CN"/>
              </w:rPr>
              <w:t>、</w:t>
            </w:r>
            <w:r>
              <w:rPr>
                <w:rFonts w:ascii="Times New Roman" w:hAnsi="Times New Roman" w:eastAsia="方正仿宋_GBK" w:cs="Times New Roman"/>
                <w:color w:val="auto"/>
              </w:rPr>
              <w:t>（是/否）</w:t>
            </w:r>
            <w:r>
              <w:rPr>
                <w:rFonts w:hint="eastAsia" w:ascii="Times New Roman" w:hAnsi="Times New Roman" w:eastAsia="方正仿宋_GBK" w:cs="Times New Roman"/>
                <w:color w:val="auto"/>
              </w:rPr>
              <w:t>按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  <w:t>《关于做好2022年全市绿色建筑与节能工作</w:t>
            </w:r>
          </w:p>
          <w:p>
            <w:pPr>
              <w:pStyle w:val="6"/>
              <w:spacing w:line="356" w:lineRule="exact"/>
              <w:jc w:val="both"/>
              <w:rPr>
                <w:rFonts w:hint="eastAsia" w:ascii="Times New Roman" w:hAnsi="Times New Roman" w:cs="Times New Roman" w:eastAsiaTheme="minorEastAsia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  <w:t>的通知》（渝建绿建〔2022〕3号）</w:t>
            </w:r>
            <w:r>
              <w:rPr>
                <w:rFonts w:hint="eastAsia" w:ascii="Times New Roman" w:hAnsi="Times New Roman" w:eastAsia="方正仿宋_GBK" w:cs="Times New Roman"/>
                <w:color w:val="auto"/>
              </w:rPr>
              <w:t>要求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  <w:t>的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范围执行绿色建筑与节能标准，推动绿色建筑占新建建筑的比例达标</w:t>
            </w:r>
            <w:r>
              <w:rPr>
                <w:rFonts w:hint="eastAsia" w:ascii="Times New Roman" w:hAnsi="Times New Roman" w:eastAsia="方正仿宋_GBK" w:cs="Times New Roman"/>
                <w:color w:val="auto"/>
              </w:rPr>
              <w:t>；</w:t>
            </w:r>
          </w:p>
          <w:p>
            <w:pPr>
              <w:pStyle w:val="6"/>
              <w:spacing w:line="356" w:lineRule="exact"/>
              <w:jc w:val="both"/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 w:eastAsiaTheme="minorEastAsia"/>
                <w:color w:val="auto"/>
                <w:lang w:eastAsia="zh-CN"/>
              </w:rPr>
              <w:t>、</w:t>
            </w:r>
            <w:r>
              <w:rPr>
                <w:rFonts w:ascii="Times New Roman" w:hAnsi="Times New Roman" w:eastAsia="方正仿宋_GBK" w:cs="Times New Roman"/>
                <w:color w:val="auto"/>
              </w:rPr>
              <w:t>（是/否）</w:t>
            </w:r>
            <w:r>
              <w:rPr>
                <w:rFonts w:hint="eastAsia" w:ascii="Times New Roman" w:hAnsi="Times New Roman" w:eastAsia="方正仿宋_GBK" w:cs="Times New Roman"/>
                <w:color w:val="auto"/>
              </w:rPr>
              <w:t>按标准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  <w:t>要求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推进建筑产业化技术措施应用，严格执行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  <w:t>“两板”技术要求；</w:t>
            </w:r>
          </w:p>
          <w:p>
            <w:pPr>
              <w:pStyle w:val="6"/>
              <w:spacing w:line="356" w:lineRule="exact"/>
              <w:jc w:val="both"/>
              <w:rPr>
                <w:rFonts w:hint="eastAsia" w:ascii="Times New Roman" w:hAnsi="Times New Roman" w:eastAsia="PMingLiU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  <w:t>、</w:t>
            </w:r>
            <w:r>
              <w:rPr>
                <w:rFonts w:ascii="Times New Roman" w:hAnsi="Times New Roman" w:eastAsia="方正仿宋_GBK" w:cs="Times New Roman"/>
                <w:color w:val="auto"/>
                <w:lang w:eastAsia="zh-CN"/>
              </w:rPr>
              <w:t>（是/否）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  <w:t>严格执行《关于《关于禁限民用建筑外墙外保温工程有关技术要求的通知》（渝建绿建〔2021〕8号）相关规定，推广墙体自保温技术应用。</w:t>
            </w:r>
          </w:p>
        </w:tc>
        <w:tc>
          <w:tcPr>
            <w:tcW w:w="2154" w:type="dxa"/>
            <w:shd w:val="clear" w:color="auto" w:fill="FFFFFF"/>
          </w:tcPr>
          <w:p>
            <w:pPr>
              <w:rPr>
                <w:color w:val="auto"/>
                <w:sz w:val="10"/>
                <w:szCs w:val="1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2" w:hRule="exact"/>
          <w:jc w:val="center"/>
        </w:trPr>
        <w:tc>
          <w:tcPr>
            <w:tcW w:w="1152" w:type="dxa"/>
            <w:vMerge w:val="restart"/>
            <w:shd w:val="clear" w:color="auto" w:fill="FFFFFF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</w:rPr>
            </w:pPr>
            <w:r>
              <w:rPr>
                <w:rFonts w:ascii="Times New Roman" w:hAnsi="Times New Roman" w:eastAsia="方正仿宋_GBK" w:cs="Times New Roman"/>
                <w:color w:val="auto"/>
              </w:rPr>
              <w:t>重点工作开展情况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  <w:t>建筑</w:t>
            </w:r>
            <w:r>
              <w:rPr>
                <w:rFonts w:ascii="Times New Roman" w:hAnsi="Times New Roman" w:eastAsia="方正仿宋_GBK" w:cs="Times New Roman"/>
                <w:color w:val="auto"/>
              </w:rPr>
              <w:t>能效测评标识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管理</w:t>
            </w:r>
          </w:p>
        </w:tc>
        <w:tc>
          <w:tcPr>
            <w:tcW w:w="4710" w:type="dxa"/>
            <w:shd w:val="clear" w:color="auto" w:fill="FFFFFF"/>
            <w:vAlign w:val="center"/>
          </w:tcPr>
          <w:p>
            <w:pPr>
              <w:pStyle w:val="6"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</w:rPr>
            </w:pPr>
            <w:r>
              <w:rPr>
                <w:rFonts w:ascii="Times New Roman" w:hAnsi="Times New Roman" w:eastAsia="方正仿宋_GBK" w:cs="Times New Roman"/>
                <w:color w:val="auto"/>
              </w:rPr>
              <w:t>（是/否）严格按照要求组织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开展</w:t>
            </w:r>
            <w:r>
              <w:rPr>
                <w:rFonts w:ascii="Times New Roman" w:hAnsi="Times New Roman" w:eastAsia="方正仿宋_GBK" w:cs="Times New Roman"/>
                <w:color w:val="auto"/>
              </w:rPr>
              <w:t>民用建筑能效测评。</w:t>
            </w:r>
          </w:p>
        </w:tc>
        <w:tc>
          <w:tcPr>
            <w:tcW w:w="2154" w:type="dxa"/>
            <w:shd w:val="clear" w:color="auto" w:fill="FFFFFF"/>
          </w:tcPr>
          <w:p>
            <w:pPr>
              <w:rPr>
                <w:color w:val="auto"/>
                <w:sz w:val="10"/>
                <w:szCs w:val="1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9" w:hRule="exact"/>
          <w:jc w:val="center"/>
        </w:trPr>
        <w:tc>
          <w:tcPr>
            <w:tcW w:w="1152" w:type="dxa"/>
            <w:vMerge w:val="continue"/>
            <w:shd w:val="clear" w:color="auto" w:fill="FFFFFF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6"/>
              <w:spacing w:line="374" w:lineRule="exact"/>
              <w:jc w:val="center"/>
              <w:rPr>
                <w:rFonts w:ascii="Times New Roman" w:hAnsi="Times New Roman" w:eastAsia="方正仿宋_GBK" w:cs="Times New Roman"/>
                <w:color w:val="auto"/>
              </w:rPr>
            </w:pPr>
            <w:r>
              <w:rPr>
                <w:rFonts w:ascii="Times New Roman" w:hAnsi="Times New Roman" w:eastAsia="方正仿宋_GBK" w:cs="Times New Roman"/>
                <w:color w:val="auto"/>
              </w:rPr>
              <w:t>高星级绿色建筑发展</w:t>
            </w:r>
          </w:p>
        </w:tc>
        <w:tc>
          <w:tcPr>
            <w:tcW w:w="4710" w:type="dxa"/>
            <w:shd w:val="clear" w:color="auto" w:fill="FFFFFF"/>
            <w:vAlign w:val="center"/>
          </w:tcPr>
          <w:p>
            <w:pPr>
              <w:pStyle w:val="6"/>
              <w:spacing w:line="360" w:lineRule="exact"/>
              <w:jc w:val="both"/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auto"/>
              </w:rPr>
              <w:t>（是/否）</w:t>
            </w:r>
            <w:r>
              <w:rPr>
                <w:rFonts w:hint="eastAsia" w:ascii="Times New Roman" w:hAnsi="Times New Roman" w:eastAsia="方正仿宋_GBK" w:cs="Times New Roman"/>
                <w:color w:val="auto"/>
              </w:rPr>
              <w:t>制定相应政策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推动辖区内项目实施星级绿色建筑。</w:t>
            </w:r>
          </w:p>
        </w:tc>
        <w:tc>
          <w:tcPr>
            <w:tcW w:w="2154" w:type="dxa"/>
            <w:shd w:val="clear" w:color="auto" w:fill="FFFFFF"/>
          </w:tcPr>
          <w:p>
            <w:pPr>
              <w:rPr>
                <w:color w:val="auto"/>
                <w:sz w:val="10"/>
                <w:szCs w:val="1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5" w:hRule="exact"/>
          <w:jc w:val="center"/>
        </w:trPr>
        <w:tc>
          <w:tcPr>
            <w:tcW w:w="1152" w:type="dxa"/>
            <w:vMerge w:val="continue"/>
            <w:shd w:val="clear" w:color="auto" w:fill="FFFFFF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6"/>
              <w:spacing w:line="374" w:lineRule="exact"/>
              <w:jc w:val="center"/>
              <w:rPr>
                <w:rFonts w:ascii="Times New Roman" w:hAnsi="Times New Roman" w:eastAsia="方正仿宋_GBK" w:cs="Times New Roman"/>
                <w:color w:val="auto"/>
              </w:rPr>
            </w:pPr>
            <w:r>
              <w:rPr>
                <w:rFonts w:ascii="Times New Roman" w:hAnsi="Times New Roman" w:eastAsia="方正仿宋_GBK" w:cs="Times New Roman"/>
                <w:color w:val="auto"/>
              </w:rPr>
              <w:t>公共建筑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绿色化</w:t>
            </w:r>
            <w:r>
              <w:rPr>
                <w:rFonts w:ascii="Times New Roman" w:hAnsi="Times New Roman" w:eastAsia="方正仿宋_GBK" w:cs="Times New Roman"/>
                <w:color w:val="auto"/>
              </w:rPr>
              <w:t>改造</w:t>
            </w:r>
          </w:p>
        </w:tc>
        <w:tc>
          <w:tcPr>
            <w:tcW w:w="4710" w:type="dxa"/>
            <w:shd w:val="clear" w:color="auto" w:fill="FFFFFF"/>
            <w:vAlign w:val="center"/>
          </w:tcPr>
          <w:p>
            <w:pPr>
              <w:pStyle w:val="6"/>
              <w:spacing w:line="360" w:lineRule="exact"/>
              <w:jc w:val="both"/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auto"/>
              </w:rPr>
              <w:t>（是/否）</w:t>
            </w:r>
            <w:r>
              <w:rPr>
                <w:rFonts w:hint="eastAsia" w:ascii="Times New Roman" w:hAnsi="Times New Roman" w:eastAsia="方正仿宋_GBK" w:cs="Times New Roman"/>
                <w:color w:val="auto"/>
              </w:rPr>
              <w:t>制定相应管理流程，推动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开展</w:t>
            </w:r>
            <w:r>
              <w:rPr>
                <w:rFonts w:ascii="Times New Roman" w:hAnsi="Times New Roman" w:eastAsia="方正仿宋_GBK" w:cs="Times New Roman"/>
                <w:color w:val="auto"/>
              </w:rPr>
              <w:t>公共建筑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绿色化</w:t>
            </w:r>
            <w:r>
              <w:rPr>
                <w:rFonts w:ascii="Times New Roman" w:hAnsi="Times New Roman" w:eastAsia="方正仿宋_GBK" w:cs="Times New Roman"/>
                <w:color w:val="auto"/>
              </w:rPr>
              <w:t>改造</w:t>
            </w:r>
            <w:r>
              <w:rPr>
                <w:rFonts w:hint="eastAsia" w:ascii="Times New Roman" w:hAnsi="Times New Roman" w:eastAsia="方正仿宋_GBK" w:cs="Times New Roman"/>
                <w:color w:val="auto"/>
              </w:rPr>
              <w:t>。</w:t>
            </w:r>
          </w:p>
        </w:tc>
        <w:tc>
          <w:tcPr>
            <w:tcW w:w="2154" w:type="dxa"/>
            <w:shd w:val="clear" w:color="auto" w:fill="FFFFFF"/>
          </w:tcPr>
          <w:p>
            <w:pPr>
              <w:rPr>
                <w:color w:val="auto"/>
                <w:sz w:val="10"/>
                <w:szCs w:val="1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0" w:hRule="exact"/>
          <w:jc w:val="center"/>
        </w:trPr>
        <w:tc>
          <w:tcPr>
            <w:tcW w:w="1152" w:type="dxa"/>
            <w:vMerge w:val="continue"/>
            <w:shd w:val="clear" w:color="auto" w:fill="FFFFFF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6"/>
              <w:spacing w:line="374" w:lineRule="exact"/>
              <w:jc w:val="center"/>
              <w:rPr>
                <w:rFonts w:ascii="Times New Roman" w:hAnsi="Times New Roman" w:eastAsia="方正仿宋_GBK" w:cs="Times New Roman"/>
                <w:color w:val="auto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  <w:t>可</w:t>
            </w:r>
            <w:r>
              <w:rPr>
                <w:rFonts w:ascii="Times New Roman" w:hAnsi="Times New Roman" w:eastAsia="方正仿宋_GBK" w:cs="Times New Roman"/>
                <w:color w:val="auto"/>
              </w:rPr>
              <w:t>再生能源建筑应用</w:t>
            </w:r>
          </w:p>
        </w:tc>
        <w:tc>
          <w:tcPr>
            <w:tcW w:w="4710" w:type="dxa"/>
            <w:shd w:val="clear" w:color="auto" w:fill="FFFFFF"/>
            <w:vAlign w:val="center"/>
          </w:tcPr>
          <w:p>
            <w:pPr>
              <w:pStyle w:val="6"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1、</w:t>
            </w:r>
            <w:r>
              <w:rPr>
                <w:rFonts w:ascii="Times New Roman" w:hAnsi="Times New Roman" w:eastAsia="方正仿宋_GBK" w:cs="Times New Roman"/>
                <w:color w:val="auto"/>
              </w:rPr>
              <w:t>（是/否）</w:t>
            </w:r>
            <w:r>
              <w:rPr>
                <w:rFonts w:hint="eastAsia" w:ascii="Times New Roman" w:hAnsi="Times New Roman" w:eastAsia="方正仿宋_GBK" w:cs="Times New Roman"/>
                <w:color w:val="auto"/>
              </w:rPr>
              <w:t>制定相应管理流程，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  <w:t>推动建筑可再生能源建筑应用；</w:t>
            </w:r>
          </w:p>
          <w:p>
            <w:pPr>
              <w:pStyle w:val="6"/>
              <w:spacing w:line="360" w:lineRule="exact"/>
              <w:jc w:val="both"/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  <w:t>2、</w:t>
            </w:r>
            <w:r>
              <w:rPr>
                <w:rFonts w:ascii="Times New Roman" w:hAnsi="Times New Roman" w:eastAsia="方正仿宋_GBK" w:cs="Times New Roman"/>
                <w:color w:val="auto"/>
              </w:rPr>
              <w:t>（是/否）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按标准要求推动项目实施可</w:t>
            </w:r>
            <w:r>
              <w:rPr>
                <w:rFonts w:ascii="Times New Roman" w:hAnsi="Times New Roman" w:eastAsia="方正仿宋_GBK" w:cs="Times New Roman"/>
                <w:color w:val="auto"/>
              </w:rPr>
              <w:t>再生能源建筑应用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。</w:t>
            </w:r>
          </w:p>
          <w:p>
            <w:pPr>
              <w:pStyle w:val="6"/>
              <w:spacing w:line="3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3、</w:t>
            </w:r>
            <w:r>
              <w:rPr>
                <w:rFonts w:ascii="Times New Roman" w:hAnsi="Times New Roman" w:eastAsia="方正仿宋_GBK" w:cs="Times New Roman"/>
                <w:color w:val="auto"/>
              </w:rPr>
              <w:t>（是/否）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针对辖区内具备可再生能源区域集中供冷供热条件的地区，制定了可再生能源建筑应用专项规划。</w:t>
            </w:r>
          </w:p>
        </w:tc>
        <w:tc>
          <w:tcPr>
            <w:tcW w:w="2154" w:type="dxa"/>
            <w:shd w:val="clear" w:color="auto" w:fill="FFFFFF"/>
          </w:tcPr>
          <w:p>
            <w:pPr>
              <w:rPr>
                <w:color w:val="auto"/>
                <w:sz w:val="10"/>
                <w:szCs w:val="1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5" w:hRule="exact"/>
          <w:jc w:val="center"/>
        </w:trPr>
        <w:tc>
          <w:tcPr>
            <w:tcW w:w="1152" w:type="dxa"/>
            <w:vMerge w:val="continue"/>
            <w:shd w:val="clear" w:color="auto" w:fill="FFFFFF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6"/>
              <w:spacing w:line="374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  <w:t>近零能耗建筑</w:t>
            </w:r>
          </w:p>
        </w:tc>
        <w:tc>
          <w:tcPr>
            <w:tcW w:w="4710" w:type="dxa"/>
            <w:shd w:val="clear" w:color="auto" w:fill="FFFFFF"/>
            <w:vAlign w:val="center"/>
          </w:tcPr>
          <w:p>
            <w:pPr>
              <w:pStyle w:val="6"/>
              <w:spacing w:line="360" w:lineRule="exact"/>
              <w:jc w:val="both"/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auto"/>
              </w:rPr>
              <w:t>（是/否）</w:t>
            </w:r>
            <w:r>
              <w:rPr>
                <w:rFonts w:hint="eastAsia" w:ascii="Times New Roman" w:hAnsi="Times New Roman" w:eastAsia="方正仿宋_GBK" w:cs="Times New Roman"/>
                <w:color w:val="auto"/>
              </w:rPr>
              <w:t>制定相应管理流程，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  <w:t>推动超低能耗、近零能耗、零能耗建筑。</w:t>
            </w:r>
          </w:p>
        </w:tc>
        <w:tc>
          <w:tcPr>
            <w:tcW w:w="2154" w:type="dxa"/>
            <w:shd w:val="clear" w:color="auto" w:fill="FFFFFF"/>
          </w:tcPr>
          <w:p>
            <w:pPr>
              <w:rPr>
                <w:color w:val="auto"/>
                <w:sz w:val="10"/>
                <w:szCs w:val="1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9" w:hRule="exact"/>
          <w:jc w:val="center"/>
        </w:trPr>
        <w:tc>
          <w:tcPr>
            <w:tcW w:w="1152" w:type="dxa"/>
            <w:vMerge w:val="continue"/>
            <w:shd w:val="clear" w:color="auto" w:fill="FFFFFF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</w:rPr>
            </w:pPr>
            <w:r>
              <w:rPr>
                <w:rFonts w:ascii="Times New Roman" w:hAnsi="Times New Roman" w:eastAsia="方正仿宋_GBK" w:cs="Times New Roman"/>
                <w:color w:val="auto"/>
              </w:rPr>
              <w:t>绿色建材推广应用</w:t>
            </w:r>
          </w:p>
        </w:tc>
        <w:tc>
          <w:tcPr>
            <w:tcW w:w="4710" w:type="dxa"/>
            <w:shd w:val="clear" w:color="auto" w:fill="FFFFFF"/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方正仿宋_GBK" w:cs="Times New Roman"/>
                <w:color w:val="auto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1、</w:t>
            </w:r>
            <w:r>
              <w:rPr>
                <w:rFonts w:ascii="Times New Roman" w:hAnsi="Times New Roman" w:eastAsia="方正仿宋_GBK" w:cs="Times New Roman"/>
                <w:color w:val="auto"/>
              </w:rPr>
              <w:t>（是/否）</w:t>
            </w:r>
            <w:r>
              <w:rPr>
                <w:rFonts w:hint="eastAsia" w:ascii="Times New Roman" w:hAnsi="Times New Roman" w:eastAsia="方正仿宋_GBK" w:cs="Times New Roman"/>
                <w:color w:val="auto"/>
              </w:rPr>
              <w:t>建立绿色建材推广制度，落实项目绿色建材应用管理要求；</w:t>
            </w:r>
          </w:p>
          <w:p>
            <w:pPr>
              <w:pStyle w:val="6"/>
              <w:spacing w:line="360" w:lineRule="exact"/>
              <w:rPr>
                <w:rFonts w:ascii="Times New Roman" w:hAnsi="Times New Roman" w:eastAsia="方正仿宋_GBK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2、</w:t>
            </w:r>
            <w:r>
              <w:rPr>
                <w:rFonts w:ascii="Times New Roman" w:hAnsi="Times New Roman" w:eastAsia="方正仿宋_GBK" w:cs="Times New Roman"/>
                <w:color w:val="auto"/>
              </w:rPr>
              <w:t>（是/否）要求辖区内建筑能效（绿色建筑）测评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  <w:t>将</w:t>
            </w:r>
            <w:r>
              <w:rPr>
                <w:rFonts w:ascii="Times New Roman" w:hAnsi="Times New Roman" w:eastAsia="方正仿宋_GBK" w:cs="Times New Roman"/>
                <w:color w:val="auto"/>
              </w:rPr>
              <w:t>绿色建材应用作为重点核查内容。</w:t>
            </w:r>
          </w:p>
        </w:tc>
        <w:tc>
          <w:tcPr>
            <w:tcW w:w="2154" w:type="dxa"/>
            <w:shd w:val="clear" w:color="auto" w:fill="FFFFFF"/>
          </w:tcPr>
          <w:p>
            <w:pPr>
              <w:rPr>
                <w:color w:val="auto"/>
                <w:sz w:val="10"/>
                <w:szCs w:val="1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3" w:hRule="exact"/>
          <w:jc w:val="center"/>
        </w:trPr>
        <w:tc>
          <w:tcPr>
            <w:tcW w:w="1152" w:type="dxa"/>
            <w:vMerge w:val="continue"/>
            <w:shd w:val="clear" w:color="auto" w:fill="FFFFFF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6"/>
              <w:spacing w:line="353" w:lineRule="exact"/>
              <w:jc w:val="center"/>
              <w:rPr>
                <w:rFonts w:ascii="Times New Roman" w:hAnsi="Times New Roman" w:eastAsia="方正仿宋_GBK" w:cs="Times New Roman"/>
                <w:color w:val="auto"/>
              </w:rPr>
            </w:pPr>
            <w:r>
              <w:rPr>
                <w:rFonts w:ascii="Times New Roman" w:hAnsi="Times New Roman" w:eastAsia="方正仿宋_GBK" w:cs="Times New Roman"/>
                <w:color w:val="auto"/>
              </w:rPr>
              <w:t>新建公共建筑能耗监测</w:t>
            </w:r>
          </w:p>
        </w:tc>
        <w:tc>
          <w:tcPr>
            <w:tcW w:w="4710" w:type="dxa"/>
            <w:shd w:val="clear" w:color="auto" w:fill="FFFFFF"/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方正仿宋_GBK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auto"/>
              </w:rPr>
              <w:t>（是/否）</w:t>
            </w:r>
            <w:r>
              <w:rPr>
                <w:rFonts w:ascii="Times New Roman" w:hAnsi="Times New Roman" w:eastAsia="方正仿宋_GBK" w:cs="Times New Roman"/>
                <w:color w:val="auto"/>
                <w:lang w:val="zh-CN" w:eastAsia="zh-CN" w:bidi="zh-CN"/>
              </w:rPr>
              <w:t>指导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zh-CN" w:eastAsia="zh-CN" w:bidi="zh-CN"/>
              </w:rPr>
              <w:t>辖区内</w:t>
            </w:r>
            <w:r>
              <w:rPr>
                <w:rFonts w:ascii="Times New Roman" w:hAnsi="Times New Roman" w:eastAsia="方正仿宋_GBK" w:cs="Times New Roman"/>
                <w:color w:val="auto"/>
              </w:rPr>
              <w:t>新建大型公共建筑安装能耗分项计量监测装置并接入市级平台。</w:t>
            </w:r>
          </w:p>
        </w:tc>
        <w:tc>
          <w:tcPr>
            <w:tcW w:w="2154" w:type="dxa"/>
            <w:shd w:val="clear" w:color="auto" w:fill="FFFFFF"/>
          </w:tcPr>
          <w:p>
            <w:pPr>
              <w:rPr>
                <w:color w:val="auto"/>
                <w:sz w:val="10"/>
                <w:szCs w:val="1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22" w:hRule="exact"/>
          <w:jc w:val="center"/>
        </w:trPr>
        <w:tc>
          <w:tcPr>
            <w:tcW w:w="1152" w:type="dxa"/>
            <w:vMerge w:val="continue"/>
            <w:shd w:val="clear" w:color="auto" w:fill="FFFFFF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方正仿宋_GBK" w:cs="Times New Roman"/>
                <w:color w:val="auto"/>
              </w:rPr>
            </w:pPr>
            <w:r>
              <w:rPr>
                <w:rFonts w:ascii="Times New Roman" w:hAnsi="Times New Roman" w:eastAsia="方正仿宋_GBK" w:cs="Times New Roman"/>
                <w:color w:val="auto"/>
              </w:rPr>
              <w:t>执法检查</w:t>
            </w:r>
          </w:p>
        </w:tc>
        <w:tc>
          <w:tcPr>
            <w:tcW w:w="4710" w:type="dxa"/>
            <w:shd w:val="clear" w:color="auto" w:fill="FFFFFF"/>
          </w:tcPr>
          <w:p>
            <w:pPr>
              <w:pStyle w:val="6"/>
              <w:spacing w:line="360" w:lineRule="exact"/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1、</w:t>
            </w:r>
            <w:r>
              <w:rPr>
                <w:rFonts w:ascii="Times New Roman" w:hAnsi="Times New Roman" w:eastAsia="方正仿宋_GBK" w:cs="Times New Roman"/>
                <w:color w:val="auto"/>
              </w:rPr>
              <w:t>（是/否）</w:t>
            </w:r>
            <w:r>
              <w:rPr>
                <w:rFonts w:hint="eastAsia" w:ascii="Times New Roman" w:hAnsi="Times New Roman" w:eastAsia="方正仿宋_GBK" w:cs="Times New Roman"/>
                <w:color w:val="auto"/>
              </w:rPr>
              <w:t>开展</w:t>
            </w:r>
            <w:r>
              <w:rPr>
                <w:rFonts w:ascii="Times New Roman" w:hAnsi="Times New Roman" w:eastAsia="方正仿宋_GBK" w:cs="Times New Roman"/>
                <w:color w:val="auto"/>
              </w:rPr>
              <w:t>绿色建筑与建筑节能执法</w:t>
            </w:r>
            <w:r>
              <w:rPr>
                <w:rFonts w:hint="eastAsia" w:ascii="Times New Roman" w:hAnsi="Times New Roman" w:eastAsia="方正仿宋_GBK" w:cs="Times New Roman"/>
                <w:color w:val="auto"/>
              </w:rPr>
              <w:t>检查，并对</w:t>
            </w:r>
            <w:r>
              <w:rPr>
                <w:rFonts w:ascii="Times New Roman" w:hAnsi="Times New Roman" w:eastAsia="方正仿宋_GBK" w:cs="Times New Roman"/>
                <w:color w:val="auto"/>
              </w:rPr>
              <w:t>违反建筑节能法规、强制性标准项目进行处罚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auto"/>
              </w:rPr>
              <w:t>检查结果社会通报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  <w:t>；</w:t>
            </w:r>
          </w:p>
          <w:p>
            <w:pPr>
              <w:pStyle w:val="6"/>
              <w:spacing w:line="360" w:lineRule="exact"/>
              <w:rPr>
                <w:rFonts w:ascii="Times New Roman" w:hAnsi="Times New Roman" w:eastAsia="方正仿宋_GBK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2、</w:t>
            </w:r>
            <w:r>
              <w:rPr>
                <w:rFonts w:ascii="Times New Roman" w:hAnsi="Times New Roman" w:eastAsia="方正仿宋_GBK" w:cs="Times New Roman"/>
                <w:color w:val="auto"/>
              </w:rPr>
              <w:t>（是/否）</w:t>
            </w:r>
            <w:r>
              <w:rPr>
                <w:rFonts w:hint="eastAsia" w:ascii="Times New Roman" w:hAnsi="Times New Roman" w:eastAsia="方正仿宋_GBK" w:cs="Times New Roman"/>
                <w:color w:val="auto"/>
              </w:rPr>
              <w:t>对</w:t>
            </w:r>
            <w:r>
              <w:rPr>
                <w:rFonts w:ascii="Times New Roman" w:hAnsi="Times New Roman" w:eastAsia="方正仿宋_GBK" w:cs="Times New Roman"/>
                <w:color w:val="auto"/>
              </w:rPr>
              <w:t>建筑节能材料工程应用质量问题</w:t>
            </w:r>
            <w:r>
              <w:rPr>
                <w:rFonts w:hint="eastAsia" w:ascii="Times New Roman" w:hAnsi="Times New Roman" w:eastAsia="方正仿宋_GBK" w:cs="Times New Roman"/>
                <w:color w:val="auto"/>
              </w:rPr>
              <w:t>进行检查</w:t>
            </w:r>
            <w:r>
              <w:rPr>
                <w:rFonts w:ascii="Times New Roman" w:hAnsi="Times New Roman" w:eastAsia="方正仿宋_GBK" w:cs="Times New Roman"/>
                <w:color w:val="auto"/>
              </w:rPr>
              <w:t>并督促整改。</w:t>
            </w:r>
          </w:p>
        </w:tc>
        <w:tc>
          <w:tcPr>
            <w:tcW w:w="2154" w:type="dxa"/>
            <w:shd w:val="clear" w:color="auto" w:fill="FFFFFF"/>
          </w:tcPr>
          <w:p>
            <w:pPr>
              <w:rPr>
                <w:color w:val="auto"/>
                <w:sz w:val="10"/>
                <w:szCs w:val="10"/>
                <w:lang w:eastAsia="zh-CN"/>
              </w:rPr>
            </w:pP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2D9380"/>
    <w:multiLevelType w:val="singleLevel"/>
    <w:tmpl w:val="742D9380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NjRhYTM5ZDczMzc0N2E0MjdlOGMyMDM0ZDg2MmEifQ=="/>
  </w:docVars>
  <w:rsids>
    <w:rsidRoot w:val="00000000"/>
    <w:rsid w:val="2E3A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3|1"/>
    <w:basedOn w:val="1"/>
    <w:qFormat/>
    <w:uiPriority w:val="0"/>
    <w:pPr>
      <w:spacing w:after="560"/>
      <w:jc w:val="center"/>
      <w:outlineLvl w:val="2"/>
    </w:pPr>
    <w:rPr>
      <w:rFonts w:ascii="宋体" w:hAnsi="宋体" w:eastAsia="宋体" w:cs="宋体"/>
      <w:sz w:val="38"/>
      <w:szCs w:val="38"/>
      <w:lang w:val="zh-TW" w:eastAsia="zh-TW" w:bidi="zh-TW"/>
    </w:rPr>
  </w:style>
  <w:style w:type="paragraph" w:customStyle="1" w:styleId="5">
    <w:name w:val="Table caption|1"/>
    <w:basedOn w:val="1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6">
    <w:name w:val="Other|1"/>
    <w:basedOn w:val="1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2022-08-23T06:54:53Z</dcterms:created>
  <dc:creator>ping</dc:creator>
  <cp:lastModifiedBy>ping</cp:lastModifiedBy>
  <dcterms:modified xsi:type="dcterms:W3CDTF">2022-08-23T06:55:05Z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40F49D0B563746E0B05AA08F41BA9E29</vt:lpwstr>
  </property>
</Properties>
</file>