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eastAsia="方正小标宋_GBK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color w:val="auto"/>
          <w:kern w:val="0"/>
          <w:sz w:val="36"/>
          <w:szCs w:val="36"/>
        </w:rPr>
        <w:t>年度绿色建筑配套能力建设项目计划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088"/>
        <w:gridCol w:w="467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8"/>
                <w:szCs w:val="28"/>
              </w:rPr>
              <w:t>牵头承担单位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8"/>
                <w:szCs w:val="28"/>
              </w:rPr>
              <w:t>资助经费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eastAsia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《重庆市既有公共建筑绿色化改造效果核定办法》编制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eastAsia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重庆市绿色低碳建筑示范项目管理机制及激励政策研究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清水混凝土饰面结构保温装饰一体化预制围护墙体研发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重庆建筑工程职业学院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重庆市建筑门窗功能品质提升机制研究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重庆市住房和城乡建设技术发展中心（重庆市建筑节能中心）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重庆市低碳建材推广应用机制研究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重庆市住房和城乡建设技术发展中心（重庆市建筑节能中心）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eastAsia="方正仿宋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重庆市绿色金融支持绿色建材产业发展研究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重庆市勘察设计协会绿色建造分会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近零能耗建筑技术体系研究与工程示范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重庆市万州三峡平湖有限公司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重庆市超低能耗建筑工程设计技术研究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eastAsia="方正仿宋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重庆市建筑碳排放计算方法研究及应用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重庆市勘察设计协会建筑环境与能源应用分会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eastAsia="方正仿宋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基于生态文明建设背景下的绿色建筑技术的突破与创新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（以长江书院为载体的工程实践）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华东建筑设计研究院有限公司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eastAsia="方正仿宋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重庆市绿色建筑与建筑节能工程检测查询手册（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年版）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重庆市绿色建筑与建筑产业化协会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eastAsia="方正仿宋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双碳”背景下，绿色建筑和绿色金融协同发展路径研究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4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</w:tbl>
    <w:p>
      <w:pPr>
        <w:spacing w:line="520" w:lineRule="exact"/>
        <w:jc w:val="center"/>
        <w:rPr>
          <w:rFonts w:ascii="方正小标宋_GBK" w:eastAsia="方正小标宋_GBK"/>
          <w:color w:val="auto"/>
          <w:kern w:val="0"/>
          <w:sz w:val="36"/>
          <w:szCs w:val="36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jRhYTM5ZDczMzc0N2E0MjdlOGMyMDM0ZDg2MmEifQ=="/>
  </w:docVars>
  <w:rsids>
    <w:rsidRoot w:val="00000000"/>
    <w:rsid w:val="135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2022-08-23T07:10:48Z</dcterms:created>
  <dc:creator>ping</dc:creator>
  <cp:lastModifiedBy>ping</cp:lastModifiedBy>
  <dcterms:modified xsi:type="dcterms:W3CDTF">2022-08-23T07:10:59Z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15B257D77CD64F1FAED1646654ACB878</vt:lpwstr>
  </property>
</Properties>
</file>