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黑体_GBK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kern w:val="0"/>
          <w:sz w:val="32"/>
          <w:szCs w:val="32"/>
        </w:rPr>
        <w:t>附件</w:t>
      </w:r>
    </w:p>
    <w:p>
      <w:pPr>
        <w:spacing w:line="560" w:lineRule="exact"/>
        <w:jc w:val="left"/>
        <w:rPr>
          <w:rFonts w:ascii="Times New Roman" w:hAnsi="Times New Roman" w:eastAsia="方正黑体_GBK" w:cs="Times New Roman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重庆一建建设集团有限公司2019年度“双随机、一公开”检查整改合格资质情况表</w:t>
      </w:r>
      <w:bookmarkEnd w:id="0"/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44"/>
          <w:szCs w:val="44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2575"/>
        <w:gridCol w:w="2127"/>
        <w:gridCol w:w="1188"/>
        <w:gridCol w:w="1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Cs w:val="21"/>
              </w:rPr>
              <w:t>序号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资质类别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资质等级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整改情况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Cs w:val="21"/>
              </w:rPr>
              <w:t>1</w:t>
            </w:r>
          </w:p>
        </w:tc>
        <w:tc>
          <w:tcPr>
            <w:tcW w:w="15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重庆一建建设集团有限公司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消防设施工程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整改合格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城市及道路照明工程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整改合格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建筑机电安装工程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整改合格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建筑装修装饰工程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整改合格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地基基础工程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整改合格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环保工程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整改合格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电子与智能化工程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整改合格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起重设备安装工程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整改合格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2021-07-14T09:56:15Z</dcterms:created>
  <dc:creator>CL</dc:creator>
  <cp:lastModifiedBy>ping</cp:lastModifiedBy>
  <dcterms:modified xsi:type="dcterms:W3CDTF">2021-07-14T09:56:22Z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702674CB6F234E8A8A6D3F166434FE29</vt:lpwstr>
  </property>
</Properties>
</file>