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left"/>
        <w:rPr>
          <w:rFonts w:ascii="方正仿宋_GBK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附件  </w:t>
      </w:r>
      <w:r>
        <w:rPr>
          <w:rFonts w:ascii="方正仿宋_GBK" w:hAnsi="Times New Roman" w:eastAsia="方正仿宋_GBK" w:cs="Times New Roman"/>
          <w:kern w:val="0"/>
          <w:sz w:val="32"/>
          <w:szCs w:val="32"/>
        </w:rPr>
        <w:t> </w:t>
      </w:r>
    </w:p>
    <w:p>
      <w:pPr>
        <w:widowControl/>
        <w:snapToGrid w:val="0"/>
        <w:spacing w:line="520" w:lineRule="exact"/>
        <w:ind w:firstLine="640" w:firstLineChars="200"/>
        <w:jc w:val="center"/>
        <w:rPr>
          <w:rFonts w:ascii="方正小标宋_GBK" w:hAnsi="Times New Roman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kern w:val="0"/>
          <w:sz w:val="32"/>
          <w:szCs w:val="32"/>
        </w:rPr>
        <w:t>授予绿色建筑评价标识项目名单</w:t>
      </w:r>
    </w:p>
    <w:tbl>
      <w:tblPr>
        <w:tblStyle w:val="4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028"/>
        <w:gridCol w:w="1317"/>
        <w:gridCol w:w="1291"/>
        <w:gridCol w:w="913"/>
        <w:gridCol w:w="1037"/>
        <w:gridCol w:w="1218"/>
        <w:gridCol w:w="1158"/>
        <w:gridCol w:w="1475"/>
        <w:gridCol w:w="293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color w:val="000000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申</w:t>
            </w:r>
            <w:r>
              <w:rPr>
                <w:rFonts w:hint="eastAsia" w:ascii="方正黑体_GBK" w:hAnsi="Times New Roman" w:eastAsia="方正黑体_GBK"/>
                <w:color w:val="000000"/>
                <w:sz w:val="21"/>
                <w:szCs w:val="21"/>
              </w:rPr>
              <w:t>报单</w:t>
            </w: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位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建筑面积（万㎡）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color w:val="333333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建筑</w:t>
            </w:r>
          </w:p>
          <w:p>
            <w:pPr>
              <w:pStyle w:val="3"/>
              <w:widowControl/>
              <w:spacing w:beforeAutospacing="0" w:after="144" w:afterAutospacing="0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color w:val="333333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标识</w:t>
            </w:r>
          </w:p>
          <w:p>
            <w:pPr>
              <w:pStyle w:val="3"/>
              <w:widowControl/>
              <w:spacing w:beforeAutospacing="0" w:after="144" w:afterAutospacing="0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类型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重庆市标识等级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对应国家标识星级</w:t>
            </w:r>
          </w:p>
        </w:tc>
        <w:tc>
          <w:tcPr>
            <w:tcW w:w="52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其配套室内车库达标情况</w:t>
            </w:r>
          </w:p>
        </w:tc>
        <w:tc>
          <w:tcPr>
            <w:tcW w:w="103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 w:line="360" w:lineRule="exact"/>
              <w:jc w:val="center"/>
              <w:rPr>
                <w:rFonts w:ascii="方正黑体_GBK" w:hAnsi="Times New Roman" w:eastAsia="方正黑体_GBK"/>
                <w:sz w:val="21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333333"/>
                <w:sz w:val="21"/>
                <w:szCs w:val="21"/>
              </w:rPr>
              <w:t>评价依据标准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全球研发中心建设项目部分A（一期）——办公楼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重庆长安汽车股份有限公司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11.37（含室内车库1.87）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公共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建筑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竣工标识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铂金级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★★★</w:t>
            </w: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满足《重庆市绿色建筑室内车库技术要求》中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基本要求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的相关规定，未满足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“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更高要求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的规定。</w:t>
            </w:r>
          </w:p>
        </w:tc>
        <w:tc>
          <w:tcPr>
            <w:tcW w:w="103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按照国家《绿色建筑评价标准》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GB/T50378-2014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和重庆市《绿色建筑评价标准》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DBJ50/T-066-2014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、重庆市《绿色建筑评价技术细则（试行）》（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版）和《重庆市绿色建筑室内车库技术要求》评价。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2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华宇•温莎小镇二期（居住建筑部分）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重庆业如房地产开发有限公司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9.37（含室内车库3.07）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居住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建筑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竣工标识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金级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★★</w:t>
            </w: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3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金辉城三期一标段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重庆金辉长江房地产有限公司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44.44（含室内车库11.24）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居住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建筑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竣工标识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金级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★★</w:t>
            </w: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3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2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widowControl/>
              <w:spacing w:beforeAutospacing="0" w:after="144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北京城建•龙樾生态城（C30-2/06地块）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北京城建重庆地产有限公司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10.33（含室内车库3.20）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居住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建筑</w:t>
            </w:r>
          </w:p>
        </w:tc>
        <w:tc>
          <w:tcPr>
            <w:tcW w:w="3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竣工标识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金级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★★</w:t>
            </w:r>
          </w:p>
        </w:tc>
        <w:tc>
          <w:tcPr>
            <w:tcW w:w="522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  <w:tc>
          <w:tcPr>
            <w:tcW w:w="103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2021-08-31T10:18:52Z</dcterms:created>
  <dc:creator>Administrator</dc:creator>
  <cp:lastModifiedBy>Administrator</cp:lastModifiedBy>
  <dcterms:modified xsi:type="dcterms:W3CDTF">2021-08-31T10:19:21Z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