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tabs>
          <w:tab w:val="left" w:pos="2224"/>
          <w:tab w:val="center" w:pos="7002"/>
        </w:tabs>
        <w:spacing w:beforeAutospacing="0" w:afterAutospacing="0" w:line="580" w:lineRule="exact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  <w:tab/>
      </w:r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年装配式建筑实施情况专项检查问题汇总表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727"/>
        <w:gridCol w:w="1343"/>
        <w:gridCol w:w="2650"/>
        <w:gridCol w:w="3904"/>
        <w:gridCol w:w="3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Style w:val="6"/>
                <w:rFonts w:hint="eastAsia" w:ascii="方正黑体_GBK" w:hAnsi="Times New Roman" w:eastAsia="方正黑体_GBK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Style w:val="6"/>
                <w:rFonts w:hint="eastAsia" w:ascii="方正黑体_GBK" w:hAnsi="Times New Roman" w:eastAsia="方正黑体_GBK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Style w:val="6"/>
                <w:rFonts w:hint="eastAsia" w:ascii="方正黑体_GBK" w:hAnsi="Times New Roman" w:eastAsia="方正黑体_GBK" w:cs="Times New Roman"/>
                <w:bCs/>
                <w:sz w:val="28"/>
                <w:szCs w:val="28"/>
              </w:rPr>
              <w:t>所在区县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参建单位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6"/>
                <w:rFonts w:ascii="方正黑体_GBK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方正黑体_GBK" w:hAnsi="Times New Roman" w:eastAsia="方正黑体_GBK" w:cs="Times New Roman"/>
                <w:bCs/>
                <w:sz w:val="28"/>
                <w:szCs w:val="28"/>
              </w:rPr>
              <w:t>主要问题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bCs/>
                <w:sz w:val="28"/>
                <w:szCs w:val="28"/>
              </w:rPr>
              <w:t>处理意见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江津区中医院住院综合大楼工程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江津区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建设单位：重庆市江津区中医院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未实施装配式建筑</w:t>
            </w: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区政府出具同意意见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对江津区住房城乡建设主管部门予以通报。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合川区文化创意中心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合川区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建设单位：重庆市胜地钓鱼城文化旅游发展有限公司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未实施装配式建筑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对合川区住房城乡建设主管部门予以通报；对项目建设单位予以通报。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黔江区人民小学校恒大分校新建工程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黔江区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建设单位：重庆市黔江区人民小学校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未实施装配式建筑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对黔江区住房城乡建设主管部门予以通报；对项目建设单位予以通报。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巴南区界石组团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某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项目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巴南区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建设单位：重庆弘梁融益太房地产开发有限公司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土地出让环节将装配式建筑实施比例要求降低至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50%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，一期项目未实施装配式建筑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对巴南区住房城乡建设主管部门予以通报。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綦江石壕小学迁建工程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綦江区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设计单位：重庆热地建筑规划设计有限责任公司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装配式建筑装配率计算依据有误，未执行现行</w:t>
            </w: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《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重庆市装配式建筑装配率计算细则</w:t>
            </w:r>
            <w:r>
              <w:rPr>
                <w:rFonts w:ascii="Times New Roman" w:hAnsi="方正仿宋_GBK" w:eastAsia="方正仿宋_GBK" w:cs="Times New Roman"/>
                <w:sz w:val="28"/>
                <w:szCs w:val="28"/>
              </w:rPr>
              <w:t>》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对项目设计单位予以通报。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高新区西永组团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某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项目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高新区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设计单位：四川国恒建筑设计有限公司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设计文件缺少标准化设计计算书，设计选用的地面做法不符合干法地面有关技术规定，但仍计取干法地面得分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分，项目设计装配率未达到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50%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对项目设计单位予以通报，屏蔽入渝信息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个月。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重庆市第五人民医院迁建工程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南岸区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建设单位：重庆市第五人民医院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擅自变更装配式建筑设计内容，将部分预制楼梯改为现浇楼梯，部分叠合板改为钢筋桁架楼承板。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sz w:val="28"/>
                <w:szCs w:val="28"/>
              </w:rPr>
              <w:t>对项目建设单位予以通报。相关资料移交工程所在地住房城乡建设主管部门进一步核实。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Times New Roman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两江新区两路组团</w:t>
            </w:r>
            <w:r>
              <w:rPr>
                <w:rFonts w:hint="eastAsia" w:ascii="Times New Roman" w:hAnsi="Times New Roman" w:eastAsia="方正仿宋_GBK"/>
                <w:kern w:val="2"/>
                <w:sz w:val="28"/>
                <w:szCs w:val="28"/>
              </w:rPr>
              <w:t>某</w:t>
            </w: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项目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Times New Roman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两江新区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建设单位：重庆庆晓房地产开发有限公司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rPr>
                <w:rFonts w:ascii="Times New Roman" w:hAnsi="Times New Roman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施工单位：重庆奥创建筑工程有限公司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Times New Roman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预制空腔剪力墙内未采用自密实混凝土，未按照设计要求进行浇筑过程控制检验，装配式建筑专项施工方案缺少叠合剪力墙空腔部分混凝土浇筑、振捣要求等质量管控风险点，实体质量较差。装配式建筑首件首层验收记录，部品部件进场验收、施工安装、临时支撑、混凝土浇筑等标准工艺流程实施记录不全。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Times New Roman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对项目建设单位、施工单位、予以通报。撤销示范项目资格，不再享受相关优惠政策，建设单位两年内不得新申报建筑产业现代化示范项目。</w:t>
            </w:r>
            <w:r>
              <w:rPr>
                <w:rFonts w:hint="eastAsia" w:ascii="Times New Roman" w:hAnsi="方正仿宋_GBK" w:eastAsia="方正仿宋_GBK"/>
                <w:sz w:val="28"/>
                <w:szCs w:val="28"/>
              </w:rPr>
              <w:t>相关资料移交工程所在地住房城乡建设主管部门进一步核实并处理。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江北区某项目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江北区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建设单位：保利（重庆）投资实业有限公司</w:t>
            </w:r>
          </w:p>
        </w:tc>
        <w:tc>
          <w:tcPr>
            <w:tcW w:w="1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采用烧结实心砖，违反《重庆市建设领域禁止、限制使用落后技术通告（</w:t>
            </w:r>
            <w:r>
              <w:rPr>
                <w:rFonts w:ascii="Times New Roman" w:hAnsi="Times New Roman" w:eastAsia="方正仿宋_GBK"/>
                <w:kern w:val="2"/>
                <w:sz w:val="28"/>
                <w:szCs w:val="28"/>
              </w:rPr>
              <w:t>2019</w:t>
            </w: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年版）》规定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Times New Roman" w:hAnsi="方正仿宋_GBK" w:eastAsia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/>
                <w:kern w:val="2"/>
                <w:sz w:val="28"/>
                <w:szCs w:val="28"/>
              </w:rPr>
              <w:t>对项目建设单位予以通报。</w:t>
            </w:r>
            <w:r>
              <w:rPr>
                <w:rFonts w:hint="eastAsia" w:ascii="Times New Roman" w:hAnsi="方正仿宋_GBK" w:eastAsia="方正仿宋_GBK"/>
                <w:sz w:val="28"/>
                <w:szCs w:val="28"/>
              </w:rPr>
              <w:t>相关资料移交工程所在地住房城乡建设主管部门进一步核实并处理。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2098" w:right="1531" w:bottom="1985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661905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3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2022-03-28T10:28:06Z</dcterms:created>
  <dc:creator>Administrator</dc:creator>
  <cp:lastModifiedBy>ping</cp:lastModifiedBy>
  <dcterms:modified xsi:type="dcterms:W3CDTF">2022-03-28T10:28:29Z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710C440324A34C3D96550609438855BA</vt:lpwstr>
  </property>
</Properties>
</file>