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Lines="0" w:line="560" w:lineRule="exact"/>
        <w:ind w:firstLineChars="0"/>
        <w:jc w:val="center"/>
        <w:rPr>
          <w:rFonts w:ascii="Times New Roman" w:hAnsi="Times New Roman" w:eastAsia="方正小标宋_GBK" w:cs="Times New Roman"/>
          <w:bCs/>
          <w:sz w:val="36"/>
          <w:szCs w:val="36"/>
        </w:rPr>
      </w:pPr>
      <w:r>
        <w:rPr>
          <w:rFonts w:ascii="Times New Roman" w:hAnsi="Times New Roman" w:eastAsia="方正小标宋_GBK" w:cs="Times New Roman"/>
          <w:bCs/>
          <w:sz w:val="36"/>
          <w:szCs w:val="36"/>
        </w:rPr>
        <w:t>缆线</w:t>
      </w:r>
      <w:r>
        <w:rPr>
          <w:rFonts w:hint="eastAsia" w:ascii="Times New Roman" w:hAnsi="Times New Roman" w:eastAsia="方正小标宋_GBK" w:cs="Times New Roman"/>
          <w:bCs/>
          <w:sz w:val="36"/>
          <w:szCs w:val="36"/>
        </w:rPr>
        <w:t>管廊入廊费和日常维护费参考标准（试行</w:t>
      </w:r>
      <w:r>
        <w:rPr>
          <w:rFonts w:ascii="Times New Roman" w:hAnsi="Times New Roman" w:eastAsia="方正小标宋_GBK" w:cs="Times New Roman"/>
          <w:bCs/>
          <w:sz w:val="36"/>
          <w:szCs w:val="36"/>
        </w:rPr>
        <w:t>）</w:t>
      </w:r>
    </w:p>
    <w:p>
      <w:pPr>
        <w:pStyle w:val="4"/>
        <w:spacing w:afterLines="0" w:line="560" w:lineRule="exact"/>
        <w:ind w:left="5250" w:firstLine="0" w:firstLineChars="0"/>
        <w:jc w:val="center"/>
        <w:outlineLvl w:val="0"/>
        <w:rPr>
          <w:rFonts w:ascii="Times New Roman" w:hAnsi="Times New Roman" w:cs="Times New Roman"/>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2091"/>
        <w:gridCol w:w="2056"/>
        <w:gridCol w:w="1980"/>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484" w:type="dxa"/>
            <w:vMerge w:val="restart"/>
            <w:shd w:val="clear" w:color="000000" w:fill="FFFFFF"/>
            <w:vAlign w:val="center"/>
          </w:tcPr>
          <w:p>
            <w:pPr>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序号</w:t>
            </w:r>
          </w:p>
        </w:tc>
        <w:tc>
          <w:tcPr>
            <w:tcW w:w="2159" w:type="dxa"/>
            <w:vMerge w:val="restart"/>
            <w:shd w:val="clear" w:color="000000" w:fill="FFFFFF"/>
            <w:vAlign w:val="center"/>
          </w:tcPr>
          <w:p>
            <w:pPr>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管线种类</w:t>
            </w:r>
          </w:p>
        </w:tc>
        <w:tc>
          <w:tcPr>
            <w:tcW w:w="4312" w:type="dxa"/>
            <w:gridSpan w:val="2"/>
            <w:shd w:val="clear" w:color="000000" w:fill="FFFFFF"/>
            <w:vAlign w:val="center"/>
          </w:tcPr>
          <w:p>
            <w:pPr>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入廊费（含税）</w:t>
            </w:r>
          </w:p>
        </w:tc>
        <w:tc>
          <w:tcPr>
            <w:tcW w:w="2013" w:type="dxa"/>
            <w:vMerge w:val="restart"/>
            <w:shd w:val="clear" w:color="000000" w:fill="FFFFFF"/>
            <w:vAlign w:val="center"/>
          </w:tcPr>
          <w:p>
            <w:pPr>
              <w:widowControl/>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日常维护费</w:t>
            </w:r>
          </w:p>
          <w:p>
            <w:pPr>
              <w:widowControl/>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484" w:type="dxa"/>
            <w:vMerge w:val="continue"/>
            <w:shd w:val="clear" w:color="000000" w:fill="FFFFFF"/>
            <w:vAlign w:val="center"/>
          </w:tcPr>
          <w:p>
            <w:pPr>
              <w:spacing w:line="500" w:lineRule="exact"/>
              <w:rPr>
                <w:rFonts w:ascii="Times New Roman" w:hAnsi="Times New Roman" w:eastAsia="方正仿宋_GBK"/>
                <w:b/>
                <w:bCs/>
                <w:kern w:val="0"/>
                <w:sz w:val="24"/>
                <w:szCs w:val="24"/>
              </w:rPr>
            </w:pPr>
          </w:p>
        </w:tc>
        <w:tc>
          <w:tcPr>
            <w:tcW w:w="2159" w:type="dxa"/>
            <w:vMerge w:val="continue"/>
            <w:shd w:val="clear" w:color="000000" w:fill="FFFFFF"/>
            <w:vAlign w:val="center"/>
          </w:tcPr>
          <w:p>
            <w:pPr>
              <w:spacing w:line="500" w:lineRule="exact"/>
              <w:rPr>
                <w:rFonts w:ascii="Times New Roman" w:hAnsi="Times New Roman" w:eastAsia="方正仿宋_GBK"/>
                <w:b/>
                <w:bCs/>
                <w:kern w:val="0"/>
                <w:sz w:val="24"/>
                <w:szCs w:val="24"/>
              </w:rPr>
            </w:pPr>
          </w:p>
        </w:tc>
        <w:tc>
          <w:tcPr>
            <w:tcW w:w="2191" w:type="dxa"/>
            <w:shd w:val="clear" w:color="000000" w:fill="FFFFFF"/>
            <w:vAlign w:val="center"/>
          </w:tcPr>
          <w:p>
            <w:pPr>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一次性支付</w:t>
            </w:r>
          </w:p>
        </w:tc>
        <w:tc>
          <w:tcPr>
            <w:tcW w:w="2121" w:type="dxa"/>
            <w:shd w:val="clear" w:color="000000" w:fill="FFFFFF"/>
            <w:vAlign w:val="center"/>
          </w:tcPr>
          <w:p>
            <w:pPr>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分期支付</w:t>
            </w:r>
          </w:p>
        </w:tc>
        <w:tc>
          <w:tcPr>
            <w:tcW w:w="2013" w:type="dxa"/>
            <w:vMerge w:val="continue"/>
            <w:shd w:val="clear" w:color="000000" w:fill="FFFFFF"/>
            <w:vAlign w:val="center"/>
          </w:tcPr>
          <w:p>
            <w:pPr>
              <w:widowControl/>
              <w:spacing w:line="500" w:lineRule="exact"/>
              <w:rPr>
                <w:rFonts w:ascii="Times New Roman" w:hAnsi="Times New Roman" w:eastAsia="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84" w:type="dxa"/>
            <w:shd w:val="clear" w:color="000000" w:fill="FFFFFF"/>
            <w:vAlign w:val="center"/>
          </w:tcPr>
          <w:p>
            <w:pPr>
              <w:widowControl/>
              <w:spacing w:line="500" w:lineRule="exact"/>
              <w:rPr>
                <w:rFonts w:ascii="Times New Roman" w:hAnsi="Times New Roman" w:eastAsia="方正仿宋_GBK"/>
                <w:b/>
                <w:bCs/>
                <w:kern w:val="0"/>
                <w:sz w:val="24"/>
              </w:rPr>
            </w:pPr>
            <w:r>
              <w:rPr>
                <w:rFonts w:hint="eastAsia" w:ascii="Times New Roman" w:hAnsi="Times New Roman" w:eastAsia="方正仿宋_GBK"/>
                <w:b/>
                <w:bCs/>
                <w:kern w:val="0"/>
                <w:sz w:val="24"/>
              </w:rPr>
              <w:t>一</w:t>
            </w:r>
          </w:p>
        </w:tc>
        <w:tc>
          <w:tcPr>
            <w:tcW w:w="2159" w:type="dxa"/>
            <w:shd w:val="clear" w:color="000000" w:fill="FFFFFF"/>
            <w:vAlign w:val="center"/>
          </w:tcPr>
          <w:p>
            <w:pPr>
              <w:widowControl/>
              <w:spacing w:line="500" w:lineRule="exact"/>
              <w:rPr>
                <w:rFonts w:ascii="Times New Roman" w:hAnsi="Times New Roman"/>
                <w:b/>
                <w:bCs/>
                <w:sz w:val="24"/>
              </w:rPr>
            </w:pPr>
            <w:r>
              <w:rPr>
                <w:rFonts w:hint="eastAsia" w:ascii="Times New Roman" w:hAnsi="Times New Roman" w:eastAsia="方正仿宋_GBK"/>
                <w:b/>
                <w:bCs/>
                <w:kern w:val="0"/>
                <w:sz w:val="24"/>
              </w:rPr>
              <w:t>电力</w:t>
            </w:r>
          </w:p>
        </w:tc>
        <w:tc>
          <w:tcPr>
            <w:tcW w:w="2191" w:type="dxa"/>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2121" w:type="dxa"/>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2013" w:type="dxa"/>
            <w:shd w:val="clear" w:color="000000" w:fill="FFFFFF"/>
            <w:vAlign w:val="center"/>
          </w:tcPr>
          <w:p>
            <w:pPr>
              <w:widowControl/>
              <w:spacing w:line="500" w:lineRule="exact"/>
              <w:rPr>
                <w:rFonts w:ascii="Times New Roman" w:hAnsi="Times New Roman"/>
                <w:b/>
                <w:bCs/>
                <w:sz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rPr>
                <w:rFonts w:ascii="Times New Roman" w:hAnsi="Times New Roman" w:eastAsia="方正仿宋_GBK"/>
                <w:kern w:val="0"/>
                <w:sz w:val="24"/>
                <w:szCs w:val="24"/>
              </w:rPr>
            </w:pPr>
            <w:r>
              <w:rPr>
                <w:rFonts w:ascii="Times New Roman" w:hAnsi="Times New Roman" w:eastAsia="方正仿宋_GBK"/>
                <w:kern w:val="0"/>
                <w:sz w:val="24"/>
                <w:szCs w:val="24"/>
              </w:rPr>
              <w:t>10kV/35KV</w:t>
            </w:r>
            <w:r>
              <w:rPr>
                <w:rFonts w:hint="eastAsia" w:ascii="Times New Roman" w:hAnsi="Times New Roman" w:eastAsia="方正仿宋_GBK"/>
                <w:kern w:val="0"/>
                <w:sz w:val="24"/>
                <w:szCs w:val="24"/>
              </w:rPr>
              <w:t>（回）</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2"/>
              </w:rPr>
              <w:t>10</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7.04</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rPr>
                <w:rFonts w:ascii="Times New Roman" w:hAnsi="Times New Roman" w:eastAsia="方正仿宋_GBK"/>
                <w:kern w:val="0"/>
                <w:sz w:val="24"/>
                <w:szCs w:val="24"/>
              </w:rPr>
            </w:pPr>
            <w:r>
              <w:rPr>
                <w:rFonts w:ascii="Times New Roman" w:hAnsi="Times New Roman" w:eastAsia="方正仿宋_GBK"/>
                <w:kern w:val="0"/>
                <w:sz w:val="24"/>
                <w:szCs w:val="24"/>
              </w:rPr>
              <w:t>110kV/220kV</w:t>
            </w:r>
            <w:r>
              <w:rPr>
                <w:rFonts w:hint="eastAsia" w:ascii="Times New Roman" w:hAnsi="Times New Roman" w:eastAsia="方正仿宋_GBK"/>
                <w:kern w:val="0"/>
                <w:sz w:val="24"/>
                <w:szCs w:val="24"/>
              </w:rPr>
              <w:t>（回）</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2"/>
              </w:rPr>
              <w:t>30</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21.11 </w:t>
            </w:r>
          </w:p>
        </w:tc>
        <w:tc>
          <w:tcPr>
            <w:tcW w:w="2013" w:type="dxa"/>
            <w:shd w:val="clear" w:color="auto" w:fill="auto"/>
            <w:vAlign w:val="center"/>
          </w:tcPr>
          <w:p>
            <w:pPr>
              <w:widowControl/>
              <w:jc w:val="center"/>
              <w:rPr>
                <w:rFonts w:ascii="Times New Roman" w:hAnsi="Times New Roman"/>
                <w:sz w:val="24"/>
                <w:szCs w:val="24"/>
              </w:rPr>
            </w:pPr>
            <w:r>
              <w:rPr>
                <w:rFonts w:ascii="Times New Roman" w:hAnsi="Times New Roman"/>
                <w:sz w:val="24"/>
                <w:szCs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484" w:type="dxa"/>
            <w:shd w:val="clear" w:color="000000" w:fill="FFFFFF"/>
            <w:vAlign w:val="center"/>
          </w:tcPr>
          <w:p>
            <w:pPr>
              <w:widowControl/>
              <w:spacing w:line="500" w:lineRule="exact"/>
              <w:rPr>
                <w:rFonts w:ascii="Times New Roman" w:hAnsi="Times New Roman" w:eastAsia="方正仿宋_GBK"/>
                <w:b/>
                <w:bCs/>
                <w:kern w:val="0"/>
                <w:sz w:val="24"/>
              </w:rPr>
            </w:pPr>
            <w:r>
              <w:rPr>
                <w:rFonts w:hint="eastAsia" w:ascii="Times New Roman" w:hAnsi="Times New Roman" w:eastAsia="方正仿宋_GBK"/>
                <w:b/>
                <w:bCs/>
                <w:kern w:val="0"/>
                <w:sz w:val="24"/>
              </w:rPr>
              <w:t>二</w:t>
            </w:r>
          </w:p>
        </w:tc>
        <w:tc>
          <w:tcPr>
            <w:tcW w:w="2159" w:type="dxa"/>
            <w:shd w:val="clear" w:color="000000" w:fill="FFFFFF"/>
            <w:vAlign w:val="center"/>
          </w:tcPr>
          <w:p>
            <w:pPr>
              <w:widowControl/>
              <w:spacing w:line="500" w:lineRule="exact"/>
              <w:rPr>
                <w:rFonts w:ascii="Times New Roman" w:hAnsi="Times New Roman"/>
                <w:b/>
                <w:bCs/>
                <w:sz w:val="24"/>
              </w:rPr>
            </w:pPr>
            <w:r>
              <w:rPr>
                <w:rFonts w:hint="eastAsia" w:ascii="Times New Roman" w:hAnsi="Times New Roman" w:eastAsia="方正仿宋_GBK"/>
                <w:b/>
                <w:bCs/>
                <w:kern w:val="0"/>
                <w:sz w:val="24"/>
              </w:rPr>
              <w:t>通信</w:t>
            </w:r>
          </w:p>
        </w:tc>
        <w:tc>
          <w:tcPr>
            <w:tcW w:w="2191" w:type="dxa"/>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2121" w:type="dxa"/>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2013" w:type="dxa"/>
            <w:shd w:val="clear" w:color="000000" w:fill="FFFFFF"/>
            <w:vAlign w:val="center"/>
          </w:tcPr>
          <w:p>
            <w:pPr>
              <w:widowControl/>
              <w:spacing w:line="500" w:lineRule="exact"/>
              <w:rPr>
                <w:rFonts w:ascii="Times New Roman" w:hAnsi="Times New Roman"/>
                <w:b/>
                <w:bCs/>
                <w:sz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通信管（孔）</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4.59</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3.23</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484" w:type="dxa"/>
            <w:shd w:val="clear" w:color="000000" w:fill="FFFFFF"/>
            <w:vAlign w:val="center"/>
          </w:tcPr>
          <w:p>
            <w:pPr>
              <w:widowControl/>
              <w:spacing w:line="500" w:lineRule="exact"/>
              <w:rPr>
                <w:rFonts w:ascii="Times New Roman" w:hAnsi="Times New Roman" w:eastAsia="方正仿宋_GBK"/>
                <w:b/>
                <w:bCs/>
                <w:kern w:val="0"/>
                <w:sz w:val="24"/>
              </w:rPr>
            </w:pPr>
            <w:r>
              <w:rPr>
                <w:rFonts w:hint="eastAsia" w:ascii="Times New Roman" w:hAnsi="Times New Roman" w:eastAsia="方正仿宋_GBK"/>
                <w:b/>
                <w:bCs/>
                <w:kern w:val="0"/>
                <w:sz w:val="24"/>
              </w:rPr>
              <w:t>三</w:t>
            </w:r>
          </w:p>
        </w:tc>
        <w:tc>
          <w:tcPr>
            <w:tcW w:w="2159" w:type="dxa"/>
            <w:shd w:val="clear" w:color="000000" w:fill="FFFFFF"/>
            <w:vAlign w:val="center"/>
          </w:tcPr>
          <w:p>
            <w:pPr>
              <w:spacing w:line="500" w:lineRule="exact"/>
              <w:jc w:val="left"/>
              <w:rPr>
                <w:rFonts w:ascii="Times New Roman" w:hAnsi="Times New Roman"/>
                <w:b/>
                <w:bCs/>
                <w:sz w:val="24"/>
                <w:szCs w:val="24"/>
              </w:rPr>
            </w:pPr>
            <w:r>
              <w:rPr>
                <w:rFonts w:hint="eastAsia" w:ascii="Times New Roman" w:hAnsi="Times New Roman" w:eastAsia="方正仿宋_GBK"/>
                <w:b/>
                <w:bCs/>
                <w:kern w:val="0"/>
                <w:sz w:val="24"/>
                <w:szCs w:val="24"/>
              </w:rPr>
              <w:t>给水</w:t>
            </w:r>
          </w:p>
        </w:tc>
        <w:tc>
          <w:tcPr>
            <w:tcW w:w="2191" w:type="dxa"/>
            <w:shd w:val="clear" w:color="000000" w:fill="FFFFFF"/>
            <w:vAlign w:val="center"/>
          </w:tcPr>
          <w:p>
            <w:pPr>
              <w:spacing w:line="500" w:lineRule="exact"/>
              <w:jc w:val="left"/>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2121" w:type="dxa"/>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2013" w:type="dxa"/>
            <w:shd w:val="clear" w:color="auto" w:fill="auto"/>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DN200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27.00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19.00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32.00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22.51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37.00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26.03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484" w:type="dxa"/>
            <w:shd w:val="clear" w:color="000000" w:fill="FFFFFF"/>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四</w:t>
            </w:r>
          </w:p>
        </w:tc>
        <w:tc>
          <w:tcPr>
            <w:tcW w:w="2159" w:type="dxa"/>
            <w:shd w:val="clear" w:color="000000" w:fill="FFFFFF"/>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再生水</w:t>
            </w:r>
          </w:p>
        </w:tc>
        <w:tc>
          <w:tcPr>
            <w:tcW w:w="2191" w:type="dxa"/>
            <w:shd w:val="clear" w:color="000000" w:fill="FFFFFF"/>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2121" w:type="dxa"/>
            <w:shd w:val="clear" w:color="000000" w:fill="FFFFFF"/>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2013" w:type="dxa"/>
            <w:shd w:val="clear" w:color="auto" w:fill="auto"/>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23.00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16.18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DN150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25.00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17.59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DN200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27.00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19.00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32.00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22.51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37.00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26.03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84" w:type="dxa"/>
            <w:shd w:val="clear" w:color="000000" w:fill="FFFFFF"/>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五</w:t>
            </w:r>
          </w:p>
        </w:tc>
        <w:tc>
          <w:tcPr>
            <w:tcW w:w="2159" w:type="dxa"/>
            <w:shd w:val="clear" w:color="000000" w:fill="FFFFFF"/>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直饮水</w:t>
            </w:r>
          </w:p>
        </w:tc>
        <w:tc>
          <w:tcPr>
            <w:tcW w:w="2191" w:type="dxa"/>
            <w:shd w:val="clear" w:color="000000" w:fill="FFFFFF"/>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2121" w:type="dxa"/>
            <w:shd w:val="clear" w:color="000000" w:fill="FFFFFF"/>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2013" w:type="dxa"/>
            <w:shd w:val="clear" w:color="auto" w:fill="auto"/>
            <w:vAlign w:val="center"/>
          </w:tcPr>
          <w:p>
            <w:pPr>
              <w:spacing w:line="500" w:lineRule="exact"/>
              <w:jc w:val="lef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23.00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16.18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DN150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25.00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17.59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DN200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27.00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19.00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32.00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22.51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37.00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26.03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484" w:type="dxa"/>
            <w:shd w:val="clear" w:color="000000" w:fill="FFFFFF"/>
            <w:vAlign w:val="center"/>
          </w:tcPr>
          <w:p>
            <w:pPr>
              <w:widowControl/>
              <w:spacing w:line="500" w:lineRule="exact"/>
              <w:rPr>
                <w:rFonts w:ascii="Times New Roman" w:hAnsi="Times New Roman" w:eastAsia="方正仿宋_GBK"/>
                <w:b/>
                <w:bCs/>
                <w:kern w:val="0"/>
                <w:sz w:val="24"/>
              </w:rPr>
            </w:pPr>
            <w:r>
              <w:rPr>
                <w:rFonts w:hint="eastAsia" w:ascii="Times New Roman" w:hAnsi="Times New Roman" w:eastAsia="方正仿宋_GBK"/>
                <w:b/>
                <w:bCs/>
                <w:kern w:val="0"/>
                <w:sz w:val="24"/>
              </w:rPr>
              <w:t>六</w:t>
            </w:r>
          </w:p>
        </w:tc>
        <w:tc>
          <w:tcPr>
            <w:tcW w:w="2159" w:type="dxa"/>
            <w:shd w:val="clear" w:color="000000" w:fill="FFFFFF"/>
            <w:vAlign w:val="center"/>
          </w:tcPr>
          <w:p>
            <w:pPr>
              <w:widowControl/>
              <w:spacing w:line="500" w:lineRule="exact"/>
              <w:rPr>
                <w:rFonts w:ascii="Times New Roman" w:hAnsi="Times New Roman" w:eastAsia="方正仿宋_GBK"/>
                <w:b/>
                <w:bCs/>
                <w:kern w:val="0"/>
                <w:sz w:val="24"/>
              </w:rPr>
            </w:pPr>
            <w:r>
              <w:rPr>
                <w:rFonts w:hint="eastAsia" w:ascii="Times New Roman" w:hAnsi="Times New Roman" w:eastAsia="方正仿宋_GBK"/>
                <w:b/>
                <w:bCs/>
                <w:kern w:val="0"/>
                <w:sz w:val="24"/>
              </w:rPr>
              <w:t>燃气</w:t>
            </w:r>
          </w:p>
        </w:tc>
        <w:tc>
          <w:tcPr>
            <w:tcW w:w="2191" w:type="dxa"/>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2121" w:type="dxa"/>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2013" w:type="dxa"/>
            <w:shd w:val="clear" w:color="auto" w:fill="auto"/>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84" w:type="dxa"/>
            <w:shd w:val="clear" w:color="000000" w:fill="FFFFFF"/>
            <w:vAlign w:val="center"/>
          </w:tcPr>
          <w:p>
            <w:pPr>
              <w:spacing w:line="500" w:lineRule="exact"/>
              <w:rPr>
                <w:rFonts w:ascii="Times New Roman" w:hAnsi="Times New Roman" w:eastAsia="方正仿宋_GBK"/>
                <w:b/>
                <w:bCs/>
                <w:kern w:val="0"/>
                <w:sz w:val="24"/>
              </w:rPr>
            </w:pPr>
          </w:p>
        </w:tc>
        <w:tc>
          <w:tcPr>
            <w:tcW w:w="2159" w:type="dxa"/>
            <w:shd w:val="clear" w:color="000000" w:fill="FFFFFF"/>
            <w:vAlign w:val="center"/>
          </w:tcPr>
          <w:p>
            <w:pPr>
              <w:widowControl/>
              <w:rPr>
                <w:rFonts w:ascii="Times New Roman" w:hAnsi="Times New Roman" w:eastAsia="方正仿宋_GBK"/>
                <w:kern w:val="0"/>
                <w:sz w:val="24"/>
                <w:szCs w:val="24"/>
              </w:rPr>
            </w:pPr>
            <w:r>
              <w:rPr>
                <w:rFonts w:ascii="Times New Roman" w:hAnsi="Times New Roman" w:eastAsia="方正仿宋_GBK"/>
                <w:kern w:val="0"/>
                <w:sz w:val="24"/>
                <w:szCs w:val="24"/>
              </w:rPr>
              <w:t>DN110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30.88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21.72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rPr>
                <w:rFonts w:ascii="Times New Roman" w:hAnsi="Times New Roman" w:eastAsia="方正仿宋_GBK"/>
                <w:kern w:val="0"/>
                <w:sz w:val="24"/>
                <w:szCs w:val="24"/>
              </w:rPr>
            </w:pPr>
            <w:r>
              <w:rPr>
                <w:rFonts w:ascii="Times New Roman" w:hAnsi="Times New Roman" w:eastAsia="方正仿宋_GBK"/>
                <w:kern w:val="0"/>
                <w:sz w:val="24"/>
                <w:szCs w:val="24"/>
              </w:rPr>
              <w:t>DN150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33.73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23.73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rPr>
                <w:rFonts w:ascii="Times New Roman" w:hAnsi="Times New Roman" w:eastAsia="方正仿宋_GBK"/>
                <w:kern w:val="0"/>
                <w:sz w:val="24"/>
                <w:szCs w:val="24"/>
              </w:rPr>
            </w:pPr>
            <w:r>
              <w:rPr>
                <w:rFonts w:ascii="Times New Roman" w:hAnsi="Times New Roman" w:eastAsia="方正仿宋_GBK"/>
                <w:kern w:val="0"/>
                <w:sz w:val="24"/>
                <w:szCs w:val="24"/>
              </w:rPr>
              <w:t>DN200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37.05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26.06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rPr>
                <w:rFonts w:ascii="Times New Roman" w:hAnsi="Times New Roman" w:eastAsia="方正仿宋_GBK"/>
                <w:kern w:val="0"/>
                <w:sz w:val="24"/>
                <w:szCs w:val="24"/>
              </w:rPr>
            </w:pPr>
            <w:r>
              <w:rPr>
                <w:rFonts w:ascii="Times New Roman" w:hAnsi="Times New Roman" w:eastAsia="方正仿宋_GBK"/>
                <w:kern w:val="0"/>
                <w:sz w:val="24"/>
                <w:szCs w:val="24"/>
              </w:rPr>
              <w:t>DN250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40.38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28.40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46.55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32.75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84" w:type="dxa"/>
            <w:shd w:val="clear" w:color="000000" w:fill="FFFFFF"/>
            <w:vAlign w:val="center"/>
          </w:tcPr>
          <w:p>
            <w:pPr>
              <w:widowControl/>
              <w:spacing w:line="500" w:lineRule="exact"/>
              <w:rPr>
                <w:rFonts w:ascii="Times New Roman" w:hAnsi="Times New Roman" w:eastAsia="方正仿宋_GBK"/>
                <w:kern w:val="0"/>
                <w:sz w:val="24"/>
              </w:rPr>
            </w:pPr>
          </w:p>
        </w:tc>
        <w:tc>
          <w:tcPr>
            <w:tcW w:w="2159" w:type="dxa"/>
            <w:shd w:val="clear" w:color="000000" w:fill="FFFFFF"/>
            <w:vAlign w:val="center"/>
          </w:tcPr>
          <w:p>
            <w:pPr>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219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53.68 </w:t>
            </w:r>
          </w:p>
        </w:tc>
        <w:tc>
          <w:tcPr>
            <w:tcW w:w="2121" w:type="dxa"/>
            <w:shd w:val="clear" w:color="000000" w:fill="FFFFFF"/>
            <w:vAlign w:val="center"/>
          </w:tcPr>
          <w:p>
            <w:pPr>
              <w:jc w:val="center"/>
              <w:rPr>
                <w:rFonts w:ascii="Times New Roman" w:hAnsi="Times New Roman"/>
                <w:sz w:val="24"/>
                <w:szCs w:val="24"/>
              </w:rPr>
            </w:pPr>
            <w:r>
              <w:rPr>
                <w:rFonts w:ascii="Times New Roman" w:hAnsi="Times New Roman"/>
                <w:sz w:val="24"/>
                <w:szCs w:val="24"/>
              </w:rPr>
              <w:t xml:space="preserve">37.76 </w:t>
            </w:r>
          </w:p>
        </w:tc>
        <w:tc>
          <w:tcPr>
            <w:tcW w:w="2013" w:type="dxa"/>
            <w:shd w:val="clear" w:color="auto" w:fill="auto"/>
            <w:vAlign w:val="center"/>
          </w:tcPr>
          <w:p>
            <w:pPr>
              <w:jc w:val="center"/>
              <w:rPr>
                <w:rFonts w:ascii="Times New Roman" w:hAnsi="Times New Roman"/>
                <w:sz w:val="24"/>
                <w:szCs w:val="24"/>
              </w:rPr>
            </w:pPr>
            <w:r>
              <w:rPr>
                <w:rFonts w:ascii="Times New Roman" w:hAnsi="Times New Roman"/>
                <w:sz w:val="24"/>
                <w:szCs w:val="24"/>
              </w:rPr>
              <w:t xml:space="preserve">0.64 </w:t>
            </w:r>
          </w:p>
        </w:tc>
      </w:tr>
    </w:tbl>
    <w:p>
      <w:pPr>
        <w:pStyle w:val="4"/>
        <w:spacing w:afterLines="0" w:line="500" w:lineRule="exact"/>
        <w:ind w:firstLine="0" w:firstLineChars="0"/>
        <w:jc w:val="left"/>
        <w:outlineLvl w:val="0"/>
        <w:rPr>
          <w:rFonts w:ascii="Times New Roman" w:hAnsi="Times New Roman" w:eastAsia="方正仿宋_GBK" w:cs="Times New Roman"/>
          <w:sz w:val="24"/>
        </w:rPr>
      </w:pPr>
      <w:r>
        <w:rPr>
          <w:rFonts w:hint="eastAsia" w:ascii="Times New Roman" w:hAnsi="Times New Roman" w:cs="Times New Roman"/>
          <w:sz w:val="24"/>
        </w:rPr>
        <w:t xml:space="preserve">    </w:t>
      </w:r>
      <w:r>
        <w:rPr>
          <w:rFonts w:hint="eastAsia" w:ascii="Times New Roman" w:hAnsi="Times New Roman" w:eastAsia="方正仿宋_GBK" w:cs="Times New Roman"/>
          <w:sz w:val="24"/>
        </w:rPr>
        <w:t>备注：</w:t>
      </w:r>
      <w:r>
        <w:rPr>
          <w:rFonts w:ascii="Times New Roman" w:hAnsi="Times New Roman" w:eastAsia="方正仿宋_GBK" w:cs="Times New Roman"/>
          <w:sz w:val="24"/>
        </w:rPr>
        <w:t xml:space="preserve">1. </w:t>
      </w:r>
      <w:r>
        <w:rPr>
          <w:rFonts w:hint="eastAsia" w:ascii="Times New Roman" w:hAnsi="Times New Roman" w:eastAsia="方正仿宋_GBK" w:cs="Times New Roman"/>
          <w:sz w:val="24"/>
        </w:rPr>
        <w:t>本参考标准中的入廊费已包含管廊运营单位按照国家和重庆市有关技术标准、规范，为入廊管线权属单位提供在管廊（或耳舱）内直接敷设管线的基本条件（应用场景）的费用，基本条件主要包括：为燃气管道提供支座（或支墩）和首次回填施工（不包含后续管线更新改造的开挖、回填施工），为给水管道提供支座（支墩）和首次盖板安装施工（不包含后续管线更新改造的盖板拆卸、安装施工），为电力、通信等缆线提供支架、套管（或线盒）及工作井（或操作口）。入廊费不包含入廊管线敷设的安装工程费。</w:t>
      </w:r>
    </w:p>
    <w:p>
      <w:pPr>
        <w:pStyle w:val="4"/>
        <w:spacing w:afterLines="0" w:line="500" w:lineRule="exact"/>
        <w:ind w:firstLine="0" w:firstLineChars="0"/>
        <w:jc w:val="left"/>
        <w:outlineLvl w:val="0"/>
        <w:rPr>
          <w:rFonts w:ascii="Times New Roman" w:hAnsi="Times New Roman" w:eastAsia="方正仿宋_GBK" w:cs="Times New Roman"/>
          <w:sz w:val="24"/>
        </w:rPr>
      </w:pPr>
      <w:r>
        <w:rPr>
          <w:rFonts w:ascii="Times New Roman" w:hAnsi="Times New Roman" w:eastAsia="方正仿宋_GBK" w:cs="Times New Roman"/>
          <w:sz w:val="24"/>
        </w:rPr>
        <w:t xml:space="preserve">    2. </w:t>
      </w:r>
      <w:r>
        <w:rPr>
          <w:rFonts w:hint="eastAsia" w:ascii="Times New Roman" w:hAnsi="Times New Roman" w:eastAsia="方正仿宋_GBK" w:cs="Times New Roman"/>
          <w:sz w:val="24"/>
        </w:rPr>
        <w:t>本参考标准中的日常维护费包含管廊结构本体及附属设施的运行、维护、检测、大中修费用，不包含入廊管线的运行、维护、检测、大中修费用。</w:t>
      </w:r>
    </w:p>
    <w:p>
      <w:pPr>
        <w:pStyle w:val="4"/>
        <w:spacing w:afterLines="0" w:line="500" w:lineRule="exact"/>
        <w:ind w:firstLine="0" w:firstLineChars="0"/>
        <w:jc w:val="left"/>
        <w:outlineLvl w:val="0"/>
        <w:rPr>
          <w:rFonts w:ascii="Times New Roman" w:hAnsi="Times New Roman" w:eastAsia="方正仿宋_GBK" w:cs="Times New Roman"/>
          <w:sz w:val="24"/>
        </w:rPr>
      </w:pPr>
      <w:r>
        <w:rPr>
          <w:rFonts w:ascii="Times New Roman" w:hAnsi="Times New Roman" w:eastAsia="方正仿宋_GBK" w:cs="Times New Roman"/>
          <w:sz w:val="24"/>
        </w:rPr>
        <w:t xml:space="preserve">    3. </w:t>
      </w:r>
      <w:r>
        <w:rPr>
          <w:rFonts w:hint="eastAsia" w:ascii="Times New Roman" w:hAnsi="Times New Roman" w:eastAsia="方正仿宋_GBK" w:cs="Times New Roman"/>
          <w:sz w:val="24"/>
        </w:rPr>
        <w:t>本参考标准中的</w:t>
      </w:r>
      <w:r>
        <w:rPr>
          <w:rFonts w:hint="eastAsia" w:ascii="Times New Roman" w:hAnsi="Times New Roman" w:eastAsia="方正仿宋_GBK" w:cs="Times New Roman"/>
          <w:kern w:val="0"/>
          <w:sz w:val="24"/>
        </w:rPr>
        <w:t>通信管（孔）</w:t>
      </w:r>
      <w:r>
        <w:rPr>
          <w:rFonts w:hint="eastAsia" w:ascii="Times New Roman" w:hAnsi="Times New Roman" w:eastAsia="方正仿宋_GBK" w:cs="Times New Roman"/>
          <w:sz w:val="24"/>
        </w:rPr>
        <w:t>每孔直径约为</w:t>
      </w:r>
      <w:r>
        <w:rPr>
          <w:rFonts w:ascii="Times New Roman" w:hAnsi="Times New Roman" w:eastAsia="方正仿宋_GBK" w:cs="Times New Roman"/>
          <w:sz w:val="24"/>
        </w:rPr>
        <w:t>110mm</w:t>
      </w:r>
      <w:r>
        <w:rPr>
          <w:rFonts w:hint="eastAsia" w:ascii="Times New Roman" w:hAnsi="Times New Roman" w:eastAsia="方正仿宋_GBK" w:cs="Times New Roman"/>
          <w:sz w:val="24"/>
        </w:rPr>
        <w:t>。</w:t>
      </w:r>
    </w:p>
    <w:p>
      <w:pPr>
        <w:pStyle w:val="4"/>
        <w:spacing w:afterLines="0" w:line="500" w:lineRule="exact"/>
        <w:ind w:firstLine="0" w:firstLineChars="0"/>
        <w:jc w:val="left"/>
        <w:outlineLvl w:val="0"/>
        <w:rPr>
          <w:rFonts w:ascii="Times New Roman" w:hAnsi="Times New Roman" w:eastAsia="方正仿宋_GBK" w:cs="Times New Roman"/>
          <w:bCs/>
          <w:sz w:val="24"/>
        </w:rPr>
      </w:pPr>
      <w:r>
        <w:rPr>
          <w:rFonts w:ascii="Times New Roman" w:hAnsi="Times New Roman" w:eastAsia="方正仿宋_GBK" w:cs="Times New Roman"/>
          <w:sz w:val="24"/>
        </w:rPr>
        <w:t xml:space="preserve">    4. </w:t>
      </w:r>
      <w:r>
        <w:rPr>
          <w:rFonts w:hint="eastAsia" w:ascii="Times New Roman" w:hAnsi="Times New Roman" w:eastAsia="方正仿宋_GBK" w:cs="Times New Roman"/>
          <w:sz w:val="24"/>
        </w:rPr>
        <w:t>本参考标准中分期支付按照五年以上贷款基准利率</w:t>
      </w:r>
      <w:r>
        <w:rPr>
          <w:rFonts w:ascii="Times New Roman" w:hAnsi="Times New Roman" w:eastAsia="方正仿宋_GBK" w:cs="Times New Roman"/>
          <w:sz w:val="24"/>
        </w:rPr>
        <w:t>4.9%</w:t>
      </w:r>
      <w:r>
        <w:rPr>
          <w:rFonts w:hint="eastAsia" w:ascii="Times New Roman" w:hAnsi="Times New Roman" w:eastAsia="方正仿宋_GBK" w:cs="Times New Roman"/>
          <w:sz w:val="24"/>
        </w:rPr>
        <w:t>计算。</w:t>
      </w:r>
    </w:p>
    <w:p>
      <w:pPr>
        <w:pStyle w:val="4"/>
        <w:spacing w:afterLines="0" w:line="500" w:lineRule="exact"/>
        <w:ind w:firstLine="0" w:firstLineChars="0"/>
        <w:jc w:val="left"/>
        <w:outlineLvl w:val="0"/>
        <w:rPr>
          <w:rFonts w:ascii="Times New Roman" w:hAnsi="Times New Roman" w:eastAsia="方正仿宋_GBK" w:cs="Times New Roman"/>
          <w:bCs/>
          <w:sz w:val="24"/>
        </w:rPr>
      </w:pPr>
      <w:r>
        <w:rPr>
          <w:rFonts w:ascii="Times New Roman" w:hAnsi="Times New Roman" w:eastAsia="方正仿宋_GBK" w:cs="Times New Roman"/>
          <w:sz w:val="24"/>
        </w:rPr>
        <w:t xml:space="preserve">    5. </w:t>
      </w:r>
      <w:r>
        <w:rPr>
          <w:rFonts w:hint="eastAsia" w:ascii="Times New Roman" w:hAnsi="Times New Roman" w:eastAsia="方正仿宋_GBK" w:cs="Times New Roman"/>
          <w:sz w:val="24"/>
        </w:rPr>
        <w:t>本参考标准未涵盖的其他管径的管线</w:t>
      </w:r>
      <w:r>
        <w:rPr>
          <w:rFonts w:hint="eastAsia" w:ascii="Times New Roman" w:hAnsi="Times New Roman" w:eastAsia="方正仿宋_GBK" w:cs="Times New Roman"/>
          <w:bCs/>
          <w:sz w:val="24"/>
        </w:rPr>
        <w:t>入廊费和日常维护费，可参照相邻管径管线的费用标准采用内插法测算。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1A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1"/>
    <w:qFormat/>
    <w:uiPriority w:val="0"/>
    <w:pPr>
      <w:widowControl w:val="0"/>
      <w:adjustRightInd w:val="0"/>
      <w:spacing w:afterLines="50" w:line="360" w:lineRule="auto"/>
      <w:ind w:firstLine="200" w:firstLineChars="200"/>
      <w:jc w:val="both"/>
    </w:pPr>
    <w:rPr>
      <w:rFonts w:ascii="Arial" w:hAnsi="Arial" w:eastAsiaTheme="minorEastAsia" w:cstheme="minorBidi"/>
      <w:spacing w:val="10"/>
      <w:kern w:val="2"/>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2022-03-31T10:10:29Z</dcterms:created>
  <dc:creator>Administrator</dc:creator>
  <cp:lastModifiedBy>ping</cp:lastModifiedBy>
  <dcterms:modified xsi:type="dcterms:W3CDTF">2022-03-31T10:10:47Z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67DCFDA6505B4880AD13E8F4032EA46F</vt:lpwstr>
  </property>
</Properties>
</file>