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公共照明路灯（庭院灯）安装</w:t>
      </w:r>
    </w:p>
    <w:p>
      <w:pPr>
        <w:pStyle w:val="2"/>
        <w:adjustRightInd w:val="0"/>
        <w:snapToGrid w:val="0"/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目标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任务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分解表</w:t>
      </w:r>
    </w:p>
    <w:tbl>
      <w:tblPr>
        <w:tblStyle w:val="3"/>
        <w:tblpPr w:leftFromText="180" w:rightFromText="180" w:vertAnchor="text" w:horzAnchor="page" w:tblpX="1501" w:tblpY="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667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 xml:space="preserve">序 </w:t>
            </w:r>
            <w:r>
              <w:rPr>
                <w:rStyle w:val="5"/>
                <w:rFonts w:hint="default"/>
                <w:lang w:bidi="ar"/>
              </w:rPr>
              <w:t xml:space="preserve"> 号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 xml:space="preserve">区 </w:t>
            </w:r>
            <w:r>
              <w:rPr>
                <w:rStyle w:val="5"/>
                <w:rFonts w:hint="default"/>
                <w:lang w:bidi="ar"/>
              </w:rPr>
              <w:t xml:space="preserve"> 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  <w:t>目标任务（盏）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万州区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黔江区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涪陵区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沙坪坝区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九龙坡区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南岸区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北碚区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渝北区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巴南区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长寿区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江津区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合川区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永川区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南川区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綦江区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大足区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璧山区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铜梁区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潼南区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荣昌区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开州区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梁平区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武隆区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城口县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丰都县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垫江县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 xml:space="preserve">忠 </w:t>
            </w:r>
            <w:r>
              <w:rPr>
                <w:rStyle w:val="6"/>
                <w:rFonts w:hint="default"/>
                <w:lang w:bidi="ar"/>
              </w:rPr>
              <w:t xml:space="preserve"> 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云阳县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奉节县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巫山县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巫溪县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石柱县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秀山县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酉阳县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彭水县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850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重庆高新区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850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万盛经开区</w:t>
            </w:r>
          </w:p>
        </w:tc>
        <w:tc>
          <w:tcPr>
            <w:tcW w:w="413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26" w:type="dxa"/>
            <w:gridSpan w:val="2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4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20000</w:t>
            </w:r>
          </w:p>
        </w:tc>
      </w:tr>
    </w:tbl>
    <w:p>
      <w:pPr>
        <w:pStyle w:val="2"/>
        <w:spacing w:after="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character" w:customStyle="1" w:styleId="5">
    <w:name w:val="font21"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6">
    <w:name w:val="font31"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2022-04-01T07:30:49Z</dcterms:created>
  <dc:creator>Administrator</dc:creator>
  <cp:lastModifiedBy>ping</cp:lastModifiedBy>
  <dcterms:modified xsi:type="dcterms:W3CDTF">2022-04-01T07:31:03Z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63F6663E2DD8437E97B06A5ED1B95168</vt:lpwstr>
  </property>
</Properties>
</file>