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jc w:val="both"/>
        <w:textAlignment w:val="auto"/>
        <w:rPr>
          <w:rStyle w:val="9"/>
          <w:rFonts w:hint="default" w:ascii="Times New Roman" w:hAnsi="Times New Roman" w:eastAsia="方正黑体_GBK" w:cs="Times New Roman"/>
          <w:b w:val="0"/>
          <w:bCs w:val="0"/>
          <w:color w:val="auto"/>
          <w:spacing w:val="8"/>
          <w:sz w:val="32"/>
          <w:szCs w:val="32"/>
          <w:u w:val="none" w:color="auto"/>
          <w:shd w:val="clear" w:color="auto" w:fill="FFFFFF"/>
          <w:lang w:val="en-US" w:eastAsia="zh-CN" w:bidi="ar-SA"/>
        </w:rPr>
      </w:pPr>
      <w:r>
        <w:rPr>
          <w:rStyle w:val="9"/>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附件</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val="0"/>
          <w:bCs w:val="0"/>
          <w:color w:val="auto"/>
          <w:kern w:val="0"/>
          <w:sz w:val="44"/>
          <w:szCs w:val="44"/>
          <w:u w:val="none" w:color="auto"/>
          <w:lang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val="0"/>
          <w:bCs w:val="0"/>
          <w:color w:val="auto"/>
          <w:kern w:val="0"/>
          <w:sz w:val="44"/>
          <w:szCs w:val="44"/>
          <w:u w:val="none" w:color="auto"/>
          <w:lang w:eastAsia="zh-CN" w:bidi="ar-SA"/>
        </w:rPr>
      </w:pPr>
      <w:r>
        <w:rPr>
          <w:rFonts w:ascii="Times New Roman" w:hAnsi="Times New Roman" w:eastAsia="方正小标宋_GBK" w:cs="Times New Roman"/>
          <w:b w:val="0"/>
          <w:bCs w:val="0"/>
          <w:color w:val="auto"/>
          <w:kern w:val="0"/>
          <w:sz w:val="44"/>
          <w:szCs w:val="44"/>
          <w:u w:val="none" w:color="auto"/>
          <w:lang w:eastAsia="zh-CN" w:bidi="ar-SA"/>
        </w:rPr>
        <w:t>重庆市房屋建筑和市政基础设施工程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val="0"/>
          <w:bCs w:val="0"/>
          <w:color w:val="auto"/>
          <w:kern w:val="0"/>
          <w:sz w:val="44"/>
          <w:szCs w:val="44"/>
          <w:u w:val="none" w:color="auto"/>
          <w:lang w:eastAsia="zh-CN" w:bidi="ar-SA"/>
        </w:rPr>
      </w:pPr>
      <w:r>
        <w:rPr>
          <w:rFonts w:ascii="Times New Roman" w:hAnsi="Times New Roman" w:eastAsia="方正小标宋_GBK" w:cs="Times New Roman"/>
          <w:b w:val="0"/>
          <w:bCs w:val="0"/>
          <w:color w:val="auto"/>
          <w:kern w:val="0"/>
          <w:sz w:val="44"/>
          <w:szCs w:val="44"/>
          <w:u w:val="none" w:color="auto"/>
          <w:lang w:eastAsia="zh-CN" w:bidi="ar-SA"/>
        </w:rPr>
        <w:t>建设单位质量安全信用管理办法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jc w:val="center"/>
        <w:textAlignment w:val="auto"/>
        <w:rPr>
          <w:rStyle w:val="9"/>
          <w:rFonts w:ascii="Times New Roman" w:hAnsi="Times New Roman" w:eastAsia="方正楷体_GBK" w:cs="Times New Roman"/>
          <w:b w:val="0"/>
          <w:bCs w:val="0"/>
          <w:color w:val="auto"/>
          <w:spacing w:val="8"/>
          <w:sz w:val="32"/>
          <w:szCs w:val="32"/>
          <w:u w:val="none" w:color="auto"/>
          <w:shd w:val="clear" w:color="auto" w:fill="FFFFFF"/>
          <w:lang w:bidi="ar-SA"/>
        </w:rPr>
      </w:pPr>
      <w:r>
        <w:rPr>
          <w:rStyle w:val="9"/>
          <w:rFonts w:ascii="Times New Roman" w:hAnsi="Times New Roman" w:eastAsia="方正楷体_GBK" w:cs="Times New Roman"/>
          <w:b w:val="0"/>
          <w:bCs w:val="0"/>
          <w:color w:val="auto"/>
          <w:spacing w:val="8"/>
          <w:sz w:val="32"/>
          <w:szCs w:val="32"/>
          <w:u w:val="none" w:color="auto"/>
          <w:lang w:bidi="ar-SA"/>
        </w:rPr>
        <w:t>（征求意见稿）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9"/>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第一章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第一条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 </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为落实建设单位的</w:t>
      </w:r>
      <w:bookmarkStart w:id="0" w:name="_GoBack"/>
      <w:bookmarkEnd w:id="0"/>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工程质量安全首要责任，</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提高建设单位诚信履约水平</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，根据《建设工程质量管理条例》</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《国务院办公厅关于进一步完善失信约束制度构建诚信建设长效机制的指导意见》（国办发〔2020〕49号）《建筑市场信用管理暂行办法》（建市〔2017〕241号）等法律法规和政策，结合本市实际，制定本办法。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第二条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在本市行政区域内进行</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房屋建筑和市政基础设施</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的新建、改建、扩建等有关活动的建设单位，适用本办法。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本办法所称质量安全信用管理是指对建设单位质量安全信用信息的认定、采集、公开、评价、使用及监督管理。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三</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 xml:space="preserve">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建设单位质量安全信用管理工作，坚持</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合法合规</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、过惩相当、</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合理关联</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原则，激励守信行为，惩戒失信行为</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着力维护社会公共利益和企业的合法权益。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四</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重庆</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市住房和城乡建设</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行政</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主管部门</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（以下简称市</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住房城乡建委</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）负责指导、协调、推进</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信用管理工作，负责制定信用管理制度和</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记分</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标准</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市建设工程质量</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监督</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总站</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（以下简称质量总站）</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、市建设工程</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施工</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安全管理总站</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（以下简称安管总站）</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、市建设工程造价管理总站（</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以下简称</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造价</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总站</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和各</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区县</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住房城乡建设</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行政</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主管部门</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以下简称</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区县</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住建部门</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具</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体负责实施建设单位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质量安全</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信用信息</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记分工作。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质量总站</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负责统筹建设单位质量安全信用管理办法具体实施、监督管理工作，会同重庆市建设信息中心做好建设单位信用</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系统运行平台的开发、维护</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第五条</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支持行业协会按照行业标准、行规、行约等，视情节轻重对失信会员实行警告、行业内通报批评、公开谴责、不予接纳、劝退、取消评优评先等行业自律措施。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鼓励各类市场主体在生产经营活动中应用信用信息。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9"/>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第二章 信用信息采集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六</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信用信息通过</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自行申报、</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市</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区县</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两级</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住</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建部门收集、司法机关和其他行政主管部门抄送等方式获取。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质量总站、安管总站</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、造价总站负责</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收集</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市管</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建设项目</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市级审批、核准、备案的工程</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项目）</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的</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不良信用信息</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区县</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住建部门按照管理权限，</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负责</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收集</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区管</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建设项目</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级审批、核准、备案的工程</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项目）</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的</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不良信用信息。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市区（县）两级住建部门</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通过信用系统及时向社会公开</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全市房屋和市政</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工程建设项目建设单位的质量安全信用信息，接受社会监督</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根据全市统一的信用管理制度和记分标准，对本行政区域内的工程质量</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安全</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行为进行监督管理。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七</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建设单位质量安全信用信息包括下列内容：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（一）基本信息</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：用以识别信用主体身份和记载信用主体基本情况的客观性信息，主要包括统一社会信用代码、法人组织的注册登记类信息等。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（二）</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优良信用信息</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：受到</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级</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以上人民政府、行业主管部门或</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市级以上</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建设行业协会表彰奖励, </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获得</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级</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以上</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工程建设相关奖项</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等行为。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（三）</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不良信用信息</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：在</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经济社会活动中不履行法律法规和生效法律文书规定义务、不履行合同约定义务</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，受到</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市</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区县</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两级</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有关部门行政处罚、</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行政</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处理或</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依法依规</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记录的建设单位质量安全失信行为</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等信息</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八</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重庆市房屋建筑和市政基础设施工程建设单位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质量安全</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失信行为</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记分</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清单</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》（以下简称《</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记分清单</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》，见附件）作为对建设单位质量安全信用情况记录依据。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九</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优良</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信用信息认定的依据包括：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（一）获得国家级工程建设相关奖项的</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文书；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受到</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区</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级</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以上人民政府、行业主管部门或</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市级以上</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建设行业协会表彰奖励</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的</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文书；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highlight w:val="none"/>
          <w:u w:val="none" w:color="auto"/>
          <w:shd w:val="clear" w:color="auto" w:fill="FFFFFF"/>
          <w:lang w:eastAsia="zh-CN" w:bidi="ar-SA"/>
        </w:rPr>
      </w:pP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（三）</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市住房城乡建委</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认定的其他优良行为。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不良</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信用信息认定的依据包括：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600" w:lineRule="exact"/>
        <w:ind w:firstLine="672" w:firstLineChars="200"/>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一</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）生效的司法文书；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）行政处罚决定文书</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，主要包括：警告、通报批评、罚款、没收违法所得或非法财物、吊销许可证、限制开展生产经营活动、责令停产停业、限制从业等</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（三）依法依规作出的其他行政</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处理</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文书：责令改正、限期改正等</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（四）质量总站、安管总站、造价总站和区县住建部门在督促落实建设单位质量安全首要责任、对建设单位及项目开展工程建设质量安全监管过程中，记录的建设单位质量安全失信行为；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Fonts w:ascii="Times New Roman" w:hAnsi="Times New Roman" w:eastAsia="方正仿宋_GBK" w:cs="Times New Roman"/>
          <w:b w:val="0"/>
          <w:bCs w:val="0"/>
          <w:color w:val="auto"/>
          <w:sz w:val="32"/>
          <w:szCs w:val="32"/>
          <w:u w:val="none" w:color="auto"/>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五</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）法律法规或者党中央、国务院政</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策文件规定</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可作为不良信用信息认定依据的其他文书</w:t>
      </w:r>
      <w:r>
        <w:rPr>
          <w:rFonts w:ascii="Times New Roman" w:hAnsi="Times New Roman" w:eastAsia="方正仿宋_GBK" w:cs="Times New Roman"/>
          <w:b w:val="0"/>
          <w:bCs w:val="0"/>
          <w:color w:val="auto"/>
          <w:sz w:val="32"/>
          <w:szCs w:val="32"/>
          <w:u w:val="none" w:color="auto"/>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u w:val="none" w:color="auto"/>
          <w:lang w:eastAsia="zh-CN" w:bidi="ar-SA"/>
        </w:rPr>
      </w:pPr>
      <w:r>
        <w:rPr>
          <w:rFonts w:hint="default" w:ascii="Times New Roman" w:hAnsi="Times New Roman" w:eastAsia="方正仿宋_GBK" w:cs="Times New Roman"/>
          <w:b w:val="0"/>
          <w:bCs w:val="0"/>
          <w:color w:val="auto"/>
          <w:sz w:val="32"/>
          <w:szCs w:val="32"/>
          <w:u w:val="none" w:color="auto"/>
          <w:lang w:eastAsia="zh-CN" w:bidi="ar-SA"/>
        </w:rPr>
        <w:t>对失信行为作出司法判决、行政处罚</w:t>
      </w:r>
      <w:r>
        <w:rPr>
          <w:rFonts w:hint="eastAsia" w:ascii="Times New Roman" w:hAnsi="Times New Roman" w:eastAsia="方正仿宋_GBK" w:cs="Times New Roman"/>
          <w:b w:val="0"/>
          <w:bCs w:val="0"/>
          <w:color w:val="auto"/>
          <w:sz w:val="32"/>
          <w:szCs w:val="32"/>
          <w:u w:val="none" w:color="auto"/>
          <w:lang w:eastAsia="zh-CN" w:bidi="ar-SA"/>
        </w:rPr>
        <w:t>、行政处理</w:t>
      </w:r>
      <w:r>
        <w:rPr>
          <w:rFonts w:hint="default" w:ascii="Times New Roman" w:hAnsi="Times New Roman" w:eastAsia="方正仿宋_GBK" w:cs="Times New Roman"/>
          <w:b w:val="0"/>
          <w:bCs w:val="0"/>
          <w:color w:val="auto"/>
          <w:sz w:val="32"/>
          <w:szCs w:val="32"/>
          <w:u w:val="none" w:color="auto"/>
          <w:lang w:eastAsia="zh-CN" w:bidi="ar-SA"/>
        </w:rPr>
        <w:t>及</w:t>
      </w:r>
      <w:r>
        <w:rPr>
          <w:rFonts w:hint="eastAsia" w:ascii="Times New Roman" w:hAnsi="Times New Roman" w:eastAsia="方正仿宋_GBK" w:cs="Times New Roman"/>
          <w:b w:val="0"/>
          <w:bCs w:val="0"/>
          <w:color w:val="auto"/>
          <w:sz w:val="32"/>
          <w:szCs w:val="32"/>
          <w:u w:val="none" w:color="auto"/>
          <w:lang w:eastAsia="zh-CN" w:bidi="ar-SA"/>
        </w:rPr>
        <w:t>失信行为记录的区县</w:t>
      </w:r>
      <w:r>
        <w:rPr>
          <w:rFonts w:hint="default" w:ascii="Times New Roman" w:hAnsi="Times New Roman" w:eastAsia="方正仿宋_GBK" w:cs="Times New Roman"/>
          <w:b w:val="0"/>
          <w:bCs w:val="0"/>
          <w:color w:val="auto"/>
          <w:sz w:val="32"/>
          <w:szCs w:val="32"/>
          <w:u w:val="none" w:color="auto"/>
          <w:lang w:eastAsia="zh-CN" w:bidi="ar-SA"/>
        </w:rPr>
        <w:t>级以上司法机关、住建部门和其他工程建设相关部门，即为不良信用信息</w:t>
      </w:r>
      <w:r>
        <w:rPr>
          <w:rFonts w:hint="eastAsia" w:ascii="Times New Roman" w:hAnsi="Times New Roman" w:eastAsia="方正仿宋_GBK" w:cs="Times New Roman"/>
          <w:b w:val="0"/>
          <w:bCs w:val="0"/>
          <w:color w:val="auto"/>
          <w:sz w:val="32"/>
          <w:szCs w:val="32"/>
          <w:u w:val="none" w:color="auto"/>
          <w:lang w:eastAsia="zh-CN" w:bidi="ar-SA"/>
        </w:rPr>
        <w:t>记分</w:t>
      </w:r>
      <w:r>
        <w:rPr>
          <w:rFonts w:hint="default" w:ascii="Times New Roman" w:hAnsi="Times New Roman" w:eastAsia="方正仿宋_GBK" w:cs="Times New Roman"/>
          <w:b w:val="0"/>
          <w:bCs w:val="0"/>
          <w:color w:val="auto"/>
          <w:sz w:val="32"/>
          <w:szCs w:val="32"/>
          <w:u w:val="none" w:color="auto"/>
          <w:lang w:eastAsia="zh-CN" w:bidi="ar-SA"/>
        </w:rPr>
        <w:t>的认定单位。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十</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建设单位质量安全信用信息录入记分实行属地、分类、分级原则，应符合下列规定：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（一）基本信息由建设单</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位录入，发生变更的企业在变更程序结束后及时完成录入，相关信息</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由属地住建部门</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与注册建设单位工程建设项目施工许可信息对比</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、核实</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（二）优良信用信息由建设单位在相关表彰、获奖等行为产生后，通过信用系统向市住房城乡建委自行申</w:t>
      </w:r>
      <w:r>
        <w:rPr>
          <w:rFonts w:ascii="Times New Roman" w:hAnsi="Times New Roman" w:eastAsia="方正仿宋_GBK" w:cs="Times New Roman"/>
          <w:b w:val="0"/>
          <w:bCs w:val="0"/>
          <w:color w:val="auto"/>
          <w:sz w:val="32"/>
          <w:szCs w:val="32"/>
          <w:u w:val="none" w:color="auto"/>
          <w:lang w:bidi="ar-SA"/>
        </w:rPr>
        <w:t>报，并提</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供佐证材料。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（三）市区（县）两级住建部门在作出行政处罚、行政处理或现场记录后，通过信用系统及时录入记分；其他部门抄送的建设单位工程质量安全失信行为行政处罚、处理信息由接收抄送的住建部门负责录入。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（四）市区（县）两级住建部门</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应</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在</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建设</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单位不良信用信息产生后20个工作日内，</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收集</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信息并通过信用系统录入记分。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十一</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条</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 xml:space="preserve">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基本信息和优良信用信息记入信用系统，不进行记分。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9"/>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第三章  信用信息的核定和公开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十二</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按照“谁</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认定</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、谁负责</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谁监管、谁负责”的原则，</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质量总站、安管总站、</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造价总站、区县</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住建部门</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依据各自管理权限，按照以下程序对信用信息进行管理：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（一）初审。对采集的信用信息，在</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5</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个工作日内进行初审并提出记分意见。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（二）复核。对初审意见在</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5</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个工作日内进行复核。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（三）公示。对通过复核的信用信息</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经</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信用系统向社会公示5个工作日。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（四）</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公开</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。公示后无异议的信用信息通过信用系统公开。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十</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三</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优良信用信息公开的基本内容包括：主体名称、信用相关的行为内容、认定时间、认定单位等。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十</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四</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不良信用信息公开的基本内容包括：主体名称、违法（违规）行为、处理</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或记录</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依据、</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作出</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处理</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或记录的</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决定</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认定时间、认定单位等。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十</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五</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公示期内，任何单位或个人均可提出异议，但应提供真实身份、联系方式、具体理由和相关佐证材料。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公示无异议的信用信息，自公示结束的次日起生效并予以</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公开</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。公示有异议的，</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按照“谁认定、谁负责”的原则，由认定单位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自收到之日起15个工作日内作出</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核实处理</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第十</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六</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除原认定的依据被依法撤销或变更的情形外，信用信息</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公开</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后不得擅自更改。信用信息更改的程序按本办法第</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十</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二</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条规定执行。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第十</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七</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 xml:space="preserve">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信用信息的公开期限</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从公开之日起算，分别</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（一）基本</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信息长期公开；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（二）优良信用信息公开期限为</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3</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（三）不良信用信息公开期限</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为</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1年，</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法律、法规或上级行政主管部门</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另有规定的，从其</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规定</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（四）</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公开期限届满后，信用信息转入</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档案</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保存。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四</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章 信用评价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第十</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八</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建设单位质量安全信用初始记分为100分，有</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失信行为</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记录情形时，依据记分标准进行相应的</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记</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分</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十九</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建设单位质量安全信用信息</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记分</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有效期为</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1年</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，自不良信用信息</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公开</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之日起滚动计算。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信用信息累计记分结果为</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90-100分</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（含</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90</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分）的建设单位，列入A级信用等级。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信用信息累计记分结果为</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75-90分</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（含</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75</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分</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，不含90分</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）的建设单位，列入B级信用等级。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信用信息累计记分结果为</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60-</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75</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分</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（含</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6</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0分</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，不含75分</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，列入</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C级信用等级</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信用信息累计记分结果为</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60</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分以</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下</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（不含</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val="en-US" w:eastAsia="zh-CN" w:bidi="ar-SA"/>
        </w:rPr>
        <w:t>60分</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，列入</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D级信用等级</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600" w:lineRule="exact"/>
        <w:jc w:val="cente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第五章</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守信激励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600" w:lineRule="exact"/>
        <w:ind w:firstLine="672" w:firstLineChars="200"/>
        <w:rPr>
          <w:rStyle w:val="9"/>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对列入</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A级</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采取以下措施：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（一）</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通过信用管理系统公开</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A级建设单位的优良信用信息</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在实施各类优惠政策中，同等条件下列为优先选择对象；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（三）</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建设单位及其投资建设项目</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在</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各类评优评先</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活动中优先予以推荐；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四</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适当减少</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日常检查、专项检</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查</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频次</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五</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在办理涉及房屋市政工程建设</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bidi="ar-SA"/>
        </w:rPr>
        <w:t>施工许可证核发</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行政审批</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时</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适用告知承诺</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等便利</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六</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）法律法规规定的其他激励、奖励措施。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600" w:lineRule="exact"/>
        <w:jc w:val="cente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第六章</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失信限制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一</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对列入</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B级</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采取以下措施：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（一）在信用管理系统中不予公开建设单位优良信用信息；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实施常规监督和日常检查</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三</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）法律法规规定的其他管理措施。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二</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对列入</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C级</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采取以下措施：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（一）在信用管理系统中不予公开</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建设单位优良信用信息</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）约谈企业负责人；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三</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取消建设单位及其投资建设项目的各类评优评先资格；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四</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）列入重点监管对象，加大检查频次；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五</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）在办理涉及房屋市政工程建设的行政审批和备案事项时</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不适用告知承诺</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等便利</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六</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）法律法规规定的其他管理措施。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三</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w:t>
      </w: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 xml:space="preserve">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对列</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D级</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的</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采取以下措施：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（一）在信用管理系统中不予公开</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建设单位优良信用信息</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二</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）约谈企业负责人；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三</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取消建设单位及其投资建设项目的各类评优评先资格；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四</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）列入重点监管对象，加大检查频次，不定期开展抽查</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，列入“双随机、一公开”联合检查对象。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五</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）在办理涉及房屋市政工程建设的行政审批和备案事项时</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不适用告知承诺</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等便利</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六</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）在行政许可、市场准入中进行重点审查；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七</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）不作为优惠政策试点、项目示范、行业创新、项目扶持对象；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八</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）法律法规规定的其他管理措施。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9"/>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七</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章 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ascii="Times New Roman" w:hAnsi="Times New Roman" w:eastAsia="方正黑体_GBK" w:cs="Times New Roman"/>
          <w:b w:val="0"/>
          <w:bCs w:val="0"/>
          <w:color w:val="auto"/>
          <w:spacing w:val="8"/>
          <w:sz w:val="32"/>
          <w:szCs w:val="32"/>
          <w:u w:val="none" w:color="auto"/>
          <w:shd w:val="clear" w:color="auto" w:fill="FFFFFF"/>
          <w:lang w:eastAsia="zh-CN" w:bidi="ar-SA"/>
        </w:rPr>
        <w:t>二十</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四</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 xml:space="preserve">条 </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在信用管理中应如实提供相关信息，并对信息合法性、真实性、准确性负责。存在弄虚作假、提供虚假</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基本信息、优良信息等失信行为的，按照属地原则，由项目所在地</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住建部门</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核实情况后报送市住房城乡建委，由市住房城乡建委统一予以撤销，对建设单位失信行为进行</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记分</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同时</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责令其整改、通报批评，并记入建设单位信用档案。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val="en-US" w:eastAsia="zh-CN" w:bidi="ar-SA"/>
        </w:rPr>
        <w:t>二十五</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各级</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住建部门</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应加强对建设单位质量安全</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失信行为</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的监督检查，做好</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失信行为</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事实证据和资料</w:t>
      </w:r>
      <w:r>
        <w:rPr>
          <w:rStyle w:val="9"/>
          <w:rFonts w:hint="eastAsia" w:ascii="Times New Roman" w:hAnsi="Times New Roman" w:eastAsia="方正仿宋_GBK" w:cs="Times New Roman"/>
          <w:b w:val="0"/>
          <w:bCs w:val="0"/>
          <w:color w:val="auto"/>
          <w:spacing w:val="8"/>
          <w:sz w:val="32"/>
          <w:szCs w:val="32"/>
          <w:u w:val="none" w:color="auto"/>
          <w:shd w:val="clear" w:color="auto" w:fill="FFFFFF"/>
          <w:lang w:eastAsia="zh-CN" w:bidi="ar-SA"/>
        </w:rPr>
        <w:t>的</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收集、整理、归档、保全工作</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二十六</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住建部门</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工作人员有下列行为之一的，由所在部门责令限期整改并通报批评；情节严重的，依法依纪处理。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（一）按照规定应当记分而不记分或不按规定要求记分的；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（二）玩忽职守、滥用职权、徇私舞弊的；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（三）法律法规禁止的其他行为。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after="156" w:line="600" w:lineRule="exact"/>
        <w:ind w:left="0"/>
        <w:jc w:val="center"/>
        <w:textAlignment w:val="auto"/>
        <w:rPr>
          <w:rStyle w:val="9"/>
          <w:rFonts w:ascii="Times New Roman" w:hAnsi="Times New Roman" w:eastAsia="方正黑体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val="en-US" w:eastAsia="zh-CN" w:bidi="ar-SA"/>
        </w:rPr>
        <w:t>第九章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二十七</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本办法由</w:t>
      </w:r>
      <w:r>
        <w:rPr>
          <w:rStyle w:val="9"/>
          <w:rFonts w:ascii="Times New Roman" w:hAnsi="Times New Roman" w:eastAsia="方正仿宋_GBK" w:cs="Times New Roman"/>
          <w:b w:val="0"/>
          <w:bCs w:val="0"/>
          <w:color w:val="auto"/>
          <w:spacing w:val="8"/>
          <w:sz w:val="32"/>
          <w:szCs w:val="32"/>
          <w:u w:val="none" w:color="auto"/>
          <w:shd w:val="clear" w:color="auto" w:fill="FFFFFF"/>
          <w:lang w:val="en-US" w:eastAsia="zh-CN" w:bidi="ar-SA"/>
        </w:rPr>
        <w:t>市住房城乡建委</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负责</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解释</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600" w:lineRule="exact"/>
        <w:ind w:firstLine="672" w:firstLineChars="200"/>
        <w:jc w:val="both"/>
        <w:textAlignment w:val="auto"/>
        <w:rPr>
          <w:rStyle w:val="9"/>
          <w:rFonts w:ascii="Times New Roman" w:hAnsi="Times New Roman" w:eastAsia="方正仿宋_GBK" w:cs="Times New Roman"/>
          <w:b w:val="0"/>
          <w:bCs w:val="0"/>
          <w:color w:val="auto"/>
          <w:spacing w:val="8"/>
          <w:sz w:val="32"/>
          <w:szCs w:val="32"/>
          <w:u w:val="none" w:color="auto"/>
          <w:shd w:val="clear" w:color="auto" w:fill="FFFFFF"/>
          <w:lang w:bidi="ar-SA"/>
        </w:rPr>
      </w:pP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第</w:t>
      </w:r>
      <w:r>
        <w:rPr>
          <w:rStyle w:val="9"/>
          <w:rFonts w:hint="eastAsia" w:ascii="Times New Roman" w:hAnsi="Times New Roman" w:eastAsia="方正黑体_GBK" w:cs="Times New Roman"/>
          <w:b w:val="0"/>
          <w:bCs w:val="0"/>
          <w:color w:val="auto"/>
          <w:spacing w:val="8"/>
          <w:sz w:val="32"/>
          <w:szCs w:val="32"/>
          <w:u w:val="none" w:color="auto"/>
          <w:shd w:val="clear" w:color="auto" w:fill="FFFFFF"/>
          <w:lang w:eastAsia="zh-CN" w:bidi="ar-SA"/>
        </w:rPr>
        <w:t>二十八</w:t>
      </w:r>
      <w:r>
        <w:rPr>
          <w:rStyle w:val="9"/>
          <w:rFonts w:ascii="Times New Roman" w:hAnsi="Times New Roman" w:eastAsia="方正黑体_GBK" w:cs="Times New Roman"/>
          <w:b w:val="0"/>
          <w:bCs w:val="0"/>
          <w:color w:val="auto"/>
          <w:spacing w:val="8"/>
          <w:sz w:val="32"/>
          <w:szCs w:val="32"/>
          <w:u w:val="none" w:color="auto"/>
          <w:shd w:val="clear" w:color="auto" w:fill="FFFFFF"/>
          <w:lang w:bidi="ar-SA"/>
        </w:rPr>
        <w:t>条  </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本办法自印发之日起施行，施行过程中上级国家机关有新规定的，从其规定。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b w:val="0"/>
          <w:bCs w:val="0"/>
          <w:color w:val="auto"/>
          <w:sz w:val="32"/>
          <w:szCs w:val="32"/>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jc w:val="both"/>
        <w:textAlignment w:val="auto"/>
        <w:rPr>
          <w:rFonts w:ascii="Times New Roman" w:hAnsi="Times New Roman" w:eastAsia="方正仿宋_GBK" w:cs="Times New Roman"/>
          <w:b w:val="0"/>
          <w:bCs w:val="0"/>
          <w:color w:val="auto"/>
          <w:sz w:val="32"/>
          <w:szCs w:val="32"/>
          <w:u w:val="none" w:color="auto"/>
          <w:lang w:val="en-US" w:eastAsia="zh-CN" w:bidi="ar-SA"/>
        </w:rPr>
      </w:pPr>
      <w:r>
        <w:rPr>
          <w:rFonts w:ascii="Times New Roman" w:hAnsi="Times New Roman" w:eastAsia="方正仿宋_GBK" w:cs="Times New Roman"/>
          <w:b w:val="0"/>
          <w:bCs w:val="0"/>
          <w:color w:val="auto"/>
          <w:sz w:val="32"/>
          <w:szCs w:val="32"/>
          <w:u w:val="none" w:color="auto"/>
          <w:lang w:val="en-US" w:eastAsia="zh-CN" w:bidi="ar-SA"/>
        </w:rPr>
        <w:t>附件：</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重庆市房屋建筑和市政基础设施工程建设单位</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质量安全</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失信行为</w:t>
      </w:r>
      <w:r>
        <w:rPr>
          <w:rStyle w:val="9"/>
          <w:rFonts w:ascii="Times New Roman" w:hAnsi="Times New Roman" w:eastAsia="方正仿宋_GBK" w:cs="Times New Roman"/>
          <w:b w:val="0"/>
          <w:bCs w:val="0"/>
          <w:color w:val="auto"/>
          <w:spacing w:val="8"/>
          <w:sz w:val="32"/>
          <w:szCs w:val="32"/>
          <w:u w:val="none" w:color="auto"/>
          <w:shd w:val="clear" w:color="auto" w:fill="FFFFFF"/>
          <w:lang w:bidi="ar-SA"/>
        </w:rPr>
        <w:t>记分</w:t>
      </w:r>
      <w:r>
        <w:rPr>
          <w:rStyle w:val="9"/>
          <w:rFonts w:ascii="Times New Roman" w:hAnsi="Times New Roman" w:eastAsia="方正仿宋_GBK" w:cs="Times New Roman"/>
          <w:b w:val="0"/>
          <w:bCs w:val="0"/>
          <w:color w:val="auto"/>
          <w:spacing w:val="8"/>
          <w:sz w:val="32"/>
          <w:szCs w:val="32"/>
          <w:u w:val="none" w:color="auto"/>
          <w:shd w:val="clear" w:color="auto" w:fill="FFFFFF"/>
          <w:lang w:eastAsia="zh-CN" w:bidi="ar-SA"/>
        </w:rPr>
        <w:t>清单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ascii="Times New Roman" w:hAnsi="Times New Roman" w:eastAsia="方正仿宋_GBK" w:cs="Times New Roman"/>
          <w:b w:val="0"/>
          <w:bCs w:val="0"/>
          <w:color w:val="auto"/>
          <w:sz w:val="32"/>
          <w:szCs w:val="32"/>
          <w:u w:val="none" w:color="auto"/>
          <w:lang w:val="en-US" w:eastAsia="zh-CN" w:bidi="ar-SA"/>
        </w:rPr>
        <w:sectPr>
          <w:footerReference r:id="rId3"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宋体" w:cs="Times New Roman"/>
          <w:b w:val="0"/>
          <w:bCs w:val="0"/>
          <w:color w:val="auto"/>
          <w:sz w:val="32"/>
          <w:szCs w:val="32"/>
          <w:u w:val="none" w:color="auto"/>
          <w:lang w:val="en-US" w:eastAsia="zh-CN" w:bidi="ar-SA"/>
        </w:rPr>
      </w:pPr>
      <w:r>
        <w:rPr>
          <w:rFonts w:ascii="Times New Roman" w:hAnsi="Times New Roman" w:eastAsia="宋体" w:cs="Times New Roman"/>
          <w:b w:val="0"/>
          <w:bCs w:val="0"/>
          <w:color w:val="auto"/>
          <w:sz w:val="32"/>
          <w:szCs w:val="32"/>
          <w:u w:val="none" w:color="auto"/>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b w:val="0"/>
          <w:bCs w:val="0"/>
          <w:color w:val="auto"/>
          <w:kern w:val="0"/>
          <w:sz w:val="40"/>
          <w:szCs w:val="40"/>
          <w:u w:val="none" w:color="auto"/>
          <w:lang w:val="en-US" w:eastAsia="zh-CN" w:bidi="ar-SA"/>
        </w:rPr>
      </w:pPr>
      <w:r>
        <w:rPr>
          <w:rFonts w:ascii="Times New Roman" w:hAnsi="Times New Roman" w:eastAsia="方正小标宋_GBK" w:cs="Times New Roman"/>
          <w:b w:val="0"/>
          <w:bCs w:val="0"/>
          <w:color w:val="auto"/>
          <w:kern w:val="0"/>
          <w:sz w:val="40"/>
          <w:szCs w:val="40"/>
          <w:u w:val="none" w:color="auto"/>
          <w:lang w:val="en-US" w:eastAsia="zh-CN" w:bidi="ar-SA"/>
        </w:rPr>
        <w:t>重庆市房屋建筑和市政基础设施工程建设单位</w:t>
      </w:r>
      <w:r>
        <w:rPr>
          <w:rFonts w:ascii="Times New Roman" w:hAnsi="Times New Roman" w:eastAsia="方正小标宋_GBK" w:cs="Times New Roman"/>
          <w:b w:val="0"/>
          <w:bCs w:val="0"/>
          <w:color w:val="auto"/>
          <w:kern w:val="0"/>
          <w:sz w:val="40"/>
          <w:szCs w:val="40"/>
          <w:u w:val="none" w:color="auto"/>
          <w:lang w:val="en-US" w:eastAsia="zh-CN" w:bidi="ar-SA"/>
        </w:rPr>
        <w:br w:type="textWrapping"/>
      </w:r>
      <w:r>
        <w:rPr>
          <w:rFonts w:ascii="Times New Roman" w:hAnsi="Times New Roman" w:eastAsia="方正小标宋_GBK" w:cs="Times New Roman"/>
          <w:b w:val="0"/>
          <w:bCs w:val="0"/>
          <w:color w:val="auto"/>
          <w:kern w:val="0"/>
          <w:sz w:val="40"/>
          <w:szCs w:val="40"/>
          <w:u w:val="none" w:color="auto"/>
          <w:lang w:val="en-US" w:eastAsia="zh-CN" w:bidi="ar-SA"/>
        </w:rPr>
        <w:t>质量安全失信行为记分清单</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9"/>
        <w:gridCol w:w="6341"/>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blHeader/>
        </w:trPr>
        <w:tc>
          <w:tcPr>
            <w:tcW w:w="63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黑体_GBK" w:hAnsi="方正黑体_GBK" w:eastAsia="方正黑体_GBK" w:cs="方正黑体_GBK"/>
                <w:i w:val="0"/>
                <w:iCs w:val="0"/>
                <w:color w:val="auto"/>
                <w:sz w:val="32"/>
                <w:szCs w:val="32"/>
                <w:u w:val="none" w:color="auto"/>
              </w:rPr>
            </w:pPr>
            <w:r>
              <w:rPr>
                <w:rFonts w:hint="eastAsia" w:ascii="方正黑体_GBK" w:hAnsi="方正黑体_GBK" w:eastAsia="方正黑体_GBK" w:cs="方正黑体_GBK"/>
                <w:i w:val="0"/>
                <w:iCs w:val="0"/>
                <w:color w:val="auto"/>
                <w:kern w:val="0"/>
                <w:sz w:val="32"/>
                <w:szCs w:val="32"/>
                <w:u w:val="none" w:color="auto"/>
                <w:lang w:val="en-US" w:eastAsia="zh-CN" w:bidi="ar"/>
              </w:rPr>
              <w:t>序号</w:t>
            </w:r>
          </w:p>
        </w:tc>
        <w:tc>
          <w:tcPr>
            <w:tcW w:w="372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auto"/>
                <w:sz w:val="32"/>
                <w:szCs w:val="32"/>
                <w:u w:val="none" w:color="auto"/>
              </w:rPr>
            </w:pPr>
            <w:r>
              <w:rPr>
                <w:rFonts w:hint="eastAsia" w:ascii="方正黑体_GBK" w:hAnsi="方正黑体_GBK" w:eastAsia="方正黑体_GBK" w:cs="方正黑体_GBK"/>
                <w:i w:val="0"/>
                <w:iCs w:val="0"/>
                <w:color w:val="auto"/>
                <w:kern w:val="0"/>
                <w:sz w:val="32"/>
                <w:szCs w:val="32"/>
                <w:u w:val="none" w:color="auto"/>
                <w:lang w:val="en-US" w:eastAsia="zh-CN" w:bidi="ar"/>
              </w:rPr>
              <w:t>失信行为描述</w:t>
            </w:r>
          </w:p>
        </w:tc>
        <w:tc>
          <w:tcPr>
            <w:tcW w:w="63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auto"/>
                <w:sz w:val="32"/>
                <w:szCs w:val="32"/>
                <w:u w:val="none" w:color="auto"/>
              </w:rPr>
            </w:pPr>
            <w:r>
              <w:rPr>
                <w:rFonts w:hint="eastAsia" w:ascii="方正黑体_GBK" w:hAnsi="方正黑体_GBK" w:eastAsia="方正黑体_GBK" w:cs="方正黑体_GBK"/>
                <w:i w:val="0"/>
                <w:iCs w:val="0"/>
                <w:color w:val="auto"/>
                <w:kern w:val="0"/>
                <w:sz w:val="32"/>
                <w:szCs w:val="32"/>
                <w:u w:val="none" w:color="auto"/>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发生较大及以上工程质量安全事故，或</w:t>
            </w:r>
            <w:r>
              <w:rPr>
                <w:rFonts w:hint="default" w:ascii="Times New Roman" w:hAnsi="Times New Roman" w:eastAsia="方正仿宋_GBK" w:cs="Times New Roman"/>
                <w:i w:val="0"/>
                <w:iCs w:val="0"/>
                <w:color w:val="auto"/>
                <w:kern w:val="0"/>
                <w:sz w:val="32"/>
                <w:szCs w:val="32"/>
                <w:u w:val="none" w:color="auto"/>
                <w:lang w:val="en-US" w:eastAsia="zh-CN" w:bidi="ar"/>
              </w:rPr>
              <w:t>1</w:t>
            </w:r>
            <w:r>
              <w:rPr>
                <w:rFonts w:hint="eastAsia" w:ascii="方正仿宋_GBK" w:hAnsi="方正仿宋_GBK" w:eastAsia="方正仿宋_GBK" w:cs="方正仿宋_GBK"/>
                <w:i w:val="0"/>
                <w:iCs w:val="0"/>
                <w:color w:val="auto"/>
                <w:kern w:val="0"/>
                <w:sz w:val="32"/>
                <w:szCs w:val="32"/>
                <w:u w:val="none" w:color="auto"/>
                <w:lang w:val="en-US" w:eastAsia="zh-CN" w:bidi="ar"/>
              </w:rPr>
              <w:t>年内累计发生</w:t>
            </w:r>
            <w:r>
              <w:rPr>
                <w:rFonts w:hint="default" w:ascii="Times New Roman" w:hAnsi="Times New Roman" w:eastAsia="方正仿宋_GBK" w:cs="Times New Roman"/>
                <w:i w:val="0"/>
                <w:iCs w:val="0"/>
                <w:color w:val="auto"/>
                <w:kern w:val="0"/>
                <w:sz w:val="32"/>
                <w:szCs w:val="32"/>
                <w:u w:val="none" w:color="auto"/>
                <w:lang w:val="en-US" w:eastAsia="zh-CN" w:bidi="ar"/>
              </w:rPr>
              <w:t>2</w:t>
            </w:r>
            <w:r>
              <w:rPr>
                <w:rFonts w:hint="eastAsia" w:ascii="方正仿宋_GBK" w:hAnsi="方正仿宋_GBK" w:eastAsia="方正仿宋_GBK" w:cs="方正仿宋_GBK"/>
                <w:i w:val="0"/>
                <w:iCs w:val="0"/>
                <w:color w:val="auto"/>
                <w:kern w:val="0"/>
                <w:sz w:val="32"/>
                <w:szCs w:val="32"/>
                <w:u w:val="none" w:color="auto"/>
                <w:lang w:val="en-US" w:eastAsia="zh-CN" w:bidi="ar"/>
              </w:rPr>
              <w:t>次及以上一般工程质量安全事故，或发生性质恶劣、危害性严重、社会影响大的工程质量安全事故，受到行政处罚的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sz w:val="32"/>
                <w:szCs w:val="32"/>
                <w:u w:val="none" w:color="auto"/>
                <w:lang w:val="en-US" w:eastAsia="zh-CN"/>
              </w:rPr>
              <w:t>2</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建设项目因企业原因发生社会公共事件、重大舆情，造成严重不良影响的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sz w:val="32"/>
                <w:szCs w:val="32"/>
                <w:u w:val="none" w:color="auto"/>
                <w:lang w:val="en-US" w:eastAsia="zh-CN"/>
              </w:rPr>
              <w:t>3</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发生一般质量安全事故的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sz w:val="32"/>
                <w:szCs w:val="32"/>
                <w:u w:val="none" w:color="auto"/>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sz w:val="32"/>
                <w:szCs w:val="32"/>
                <w:u w:val="none" w:color="auto"/>
                <w:lang w:val="en-US" w:eastAsia="zh-CN"/>
              </w:rPr>
              <w:t>4</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kern w:val="0"/>
                <w:sz w:val="32"/>
                <w:szCs w:val="32"/>
                <w:u w:val="none" w:color="auto"/>
                <w:lang w:val="en-US" w:eastAsia="zh-CN" w:bidi="ar"/>
              </w:rPr>
            </w:pPr>
            <w:r>
              <w:rPr>
                <w:rFonts w:hint="default" w:ascii="方正仿宋_GBK" w:hAnsi="方正仿宋_GBK" w:eastAsia="方正仿宋_GBK" w:cs="方正仿宋_GBK"/>
                <w:i w:val="0"/>
                <w:iCs w:val="0"/>
                <w:color w:val="auto"/>
                <w:kern w:val="0"/>
                <w:sz w:val="32"/>
                <w:szCs w:val="32"/>
                <w:u w:val="none" w:color="auto"/>
                <w:lang w:val="en-US" w:eastAsia="zh-CN" w:bidi="ar"/>
              </w:rPr>
              <w:t>未对危险性较大分部分项工程实施全过程管理的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lang w:val="en-US" w:eastAsia="zh-CN"/>
              </w:rPr>
            </w:pPr>
            <w:r>
              <w:rPr>
                <w:rFonts w:hint="eastAsia" w:ascii="Times New Roman" w:hAnsi="Times New Roman" w:eastAsia="宋体" w:cs="Times New Roman"/>
                <w:i w:val="0"/>
                <w:iCs w:val="0"/>
                <w:color w:val="auto"/>
                <w:sz w:val="32"/>
                <w:szCs w:val="32"/>
                <w:u w:val="none" w:color="auto"/>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经法院判决或仲裁机构裁决，认定为拖欠工程款</w:t>
            </w:r>
            <w:r>
              <w:rPr>
                <w:rFonts w:hint="default" w:ascii="Times New Roman" w:hAnsi="Times New Roman" w:eastAsia="方正仿宋_GBK" w:cs="Times New Roman"/>
                <w:i w:val="0"/>
                <w:iCs w:val="0"/>
                <w:color w:val="auto"/>
                <w:kern w:val="0"/>
                <w:sz w:val="32"/>
                <w:szCs w:val="32"/>
                <w:u w:val="none" w:color="auto"/>
                <w:lang w:val="en-US" w:eastAsia="zh-CN" w:bidi="ar"/>
              </w:rPr>
              <w:t>,</w:t>
            </w:r>
            <w:r>
              <w:rPr>
                <w:rFonts w:hint="eastAsia" w:ascii="方正仿宋_GBK" w:hAnsi="方正仿宋_GBK" w:eastAsia="方正仿宋_GBK" w:cs="方正仿宋_GBK"/>
                <w:i w:val="0"/>
                <w:iCs w:val="0"/>
                <w:color w:val="auto"/>
                <w:kern w:val="0"/>
                <w:sz w:val="32"/>
                <w:szCs w:val="32"/>
                <w:u w:val="none" w:color="auto"/>
                <w:lang w:val="en-US" w:eastAsia="zh-CN" w:bidi="ar"/>
              </w:rPr>
              <w:t>且拒不履行生效法律文书确定的义务的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sz w:val="32"/>
                <w:szCs w:val="32"/>
                <w:u w:val="none" w:color="auto"/>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建设单位将建设工程肢解发包、直接发包预拌混凝土等专业分包工程或者违规指定分包单位</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7</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建设单位未能提供真实、准确、完整的地下管线资料，造成生产安全事故的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8</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建设项目必须实行工程监理而未实行工程监理的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9</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将工程发包给不具有相应资质等级的勘察、设计、施工单位或者委托给不具有相应资质等级的工程监理单位的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10</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建设单位委托未取得相应资质的检测机构进行检测的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11</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建设单位未按照合同约定支付工程款导致拖欠农民工工资，引发农民工讨薪群体性事件或者</w:t>
            </w:r>
            <w:r>
              <w:rPr>
                <w:rFonts w:hint="default" w:ascii="Times New Roman" w:hAnsi="Times New Roman" w:eastAsia="方正仿宋_GBK" w:cs="Times New Roman"/>
                <w:i w:val="0"/>
                <w:iCs w:val="0"/>
                <w:color w:val="auto"/>
                <w:kern w:val="0"/>
                <w:sz w:val="32"/>
                <w:szCs w:val="32"/>
                <w:u w:val="none" w:color="auto"/>
                <w:lang w:val="en-US" w:eastAsia="zh-CN" w:bidi="ar"/>
              </w:rPr>
              <w:t>10</w:t>
            </w:r>
            <w:r>
              <w:rPr>
                <w:rFonts w:hint="eastAsia" w:ascii="方正仿宋_GBK" w:hAnsi="方正仿宋_GBK" w:eastAsia="方正仿宋_GBK" w:cs="方正仿宋_GBK"/>
                <w:i w:val="0"/>
                <w:iCs w:val="0"/>
                <w:color w:val="auto"/>
                <w:kern w:val="0"/>
                <w:sz w:val="32"/>
                <w:szCs w:val="32"/>
                <w:u w:val="none" w:color="auto"/>
                <w:lang w:val="en-US" w:eastAsia="zh-CN" w:bidi="ar"/>
              </w:rPr>
              <w:t>人及以上集体上访投诉的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12</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擅自更改设计和改变使用功能的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13</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迫使投标单位以低于成本的价格竞标，或者与承包单位签订</w:t>
            </w:r>
            <w:r>
              <w:rPr>
                <w:rFonts w:hint="default" w:ascii="Times New Roman" w:hAnsi="Times New Roman" w:eastAsia="方正仿宋_GBK" w:cs="Times New Roman"/>
                <w:i w:val="0"/>
                <w:iCs w:val="0"/>
                <w:color w:val="auto"/>
                <w:kern w:val="0"/>
                <w:sz w:val="32"/>
                <w:szCs w:val="32"/>
                <w:u w:val="none" w:color="auto"/>
                <w:lang w:val="en-US" w:eastAsia="zh-CN" w:bidi="ar"/>
              </w:rPr>
              <w:t>“</w:t>
            </w:r>
            <w:r>
              <w:rPr>
                <w:rFonts w:hint="eastAsia" w:ascii="方正仿宋_GBK" w:hAnsi="方正仿宋_GBK" w:eastAsia="方正仿宋_GBK" w:cs="方正仿宋_GBK"/>
                <w:i w:val="0"/>
                <w:iCs w:val="0"/>
                <w:color w:val="auto"/>
                <w:kern w:val="0"/>
                <w:sz w:val="32"/>
                <w:szCs w:val="32"/>
                <w:u w:val="none" w:color="auto"/>
                <w:lang w:val="en-US" w:eastAsia="zh-CN" w:bidi="ar"/>
              </w:rPr>
              <w:t>阴阳</w:t>
            </w:r>
            <w:r>
              <w:rPr>
                <w:rFonts w:hint="default" w:ascii="Times New Roman" w:hAnsi="Times New Roman" w:eastAsia="方正仿宋_GBK" w:cs="Times New Roman"/>
                <w:i w:val="0"/>
                <w:iCs w:val="0"/>
                <w:color w:val="auto"/>
                <w:kern w:val="0"/>
                <w:sz w:val="32"/>
                <w:szCs w:val="32"/>
                <w:u w:val="none" w:color="auto"/>
                <w:lang w:val="en-US" w:eastAsia="zh-CN" w:bidi="ar"/>
              </w:rPr>
              <w:t>”</w:t>
            </w:r>
            <w:r>
              <w:rPr>
                <w:rFonts w:hint="eastAsia" w:ascii="方正仿宋_GBK" w:hAnsi="方正仿宋_GBK" w:eastAsia="方正仿宋_GBK" w:cs="方正仿宋_GBK"/>
                <w:i w:val="0"/>
                <w:iCs w:val="0"/>
                <w:color w:val="auto"/>
                <w:kern w:val="0"/>
                <w:sz w:val="32"/>
                <w:szCs w:val="32"/>
                <w:u w:val="none" w:color="auto"/>
                <w:lang w:val="en-US" w:eastAsia="zh-CN" w:bidi="ar"/>
              </w:rPr>
              <w:t>合同的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14</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明示或暗示设计单位、施工单位违反工程建设强制性标准，或明示或暗示施工单位使用不合格的建筑材料、建筑构配件和设备，或使用列入禁止使用目录的技术、工艺、材料和设备的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15</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建设单位未组织竣工验收，擅自交付使用的；验收不合格，擅自交付使用的；对不合格的建设工程按照合格工程验收的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16</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明示或暗示检测机构出具虚假检测报告，篡改或伪造检测报告的；弄虚作假送检试样的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17</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明示或者暗示审查机构违反法律法规和工程建设强制性标准进行施工图审查，或者压缩合理审查周期、压低合理审查费用的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18</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对不符合民用建筑节能强制性标准的民用建筑项目出具竣工验收合格报告的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19</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建设单位未按月足额向农民工工资专用账户拨付工程款中的人工费用的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20</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保修期结束前发生影响公共安全、公共利益的建筑构件或外墙建筑材料脱落造成人员伤亡、财产损失，或者屋面、墙面大面积渗漏需要返修等严重工程质量问题，未按照整改要求限期改正的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21</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项目存在重大安全隐患，可能导致事故发生，但项目拒不执行监督机构整改指令，或未在规定时限内整改完成的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22</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以</w:t>
            </w:r>
            <w:r>
              <w:rPr>
                <w:rFonts w:hint="default" w:ascii="Times New Roman" w:hAnsi="Times New Roman" w:eastAsia="方正仿宋_GBK" w:cs="Times New Roman"/>
                <w:i w:val="0"/>
                <w:iCs w:val="0"/>
                <w:color w:val="auto"/>
                <w:kern w:val="0"/>
                <w:sz w:val="32"/>
                <w:szCs w:val="32"/>
                <w:u w:val="none" w:color="auto"/>
                <w:lang w:val="en-US" w:eastAsia="zh-CN" w:bidi="ar"/>
              </w:rPr>
              <w:t>“</w:t>
            </w:r>
            <w:r>
              <w:rPr>
                <w:rFonts w:hint="eastAsia" w:ascii="方正仿宋_GBK" w:hAnsi="方正仿宋_GBK" w:eastAsia="方正仿宋_GBK" w:cs="方正仿宋_GBK"/>
                <w:i w:val="0"/>
                <w:iCs w:val="0"/>
                <w:color w:val="auto"/>
                <w:kern w:val="0"/>
                <w:sz w:val="32"/>
                <w:szCs w:val="32"/>
                <w:u w:val="none" w:color="auto"/>
                <w:lang w:val="en-US" w:eastAsia="zh-CN" w:bidi="ar"/>
              </w:rPr>
              <w:t>优化设计</w:t>
            </w:r>
            <w:r>
              <w:rPr>
                <w:rFonts w:hint="default" w:ascii="Times New Roman" w:hAnsi="Times New Roman" w:eastAsia="方正仿宋_GBK" w:cs="Times New Roman"/>
                <w:i w:val="0"/>
                <w:iCs w:val="0"/>
                <w:color w:val="auto"/>
                <w:kern w:val="0"/>
                <w:sz w:val="32"/>
                <w:szCs w:val="32"/>
                <w:u w:val="none" w:color="auto"/>
                <w:lang w:val="en-US" w:eastAsia="zh-CN" w:bidi="ar"/>
              </w:rPr>
              <w:t>”</w:t>
            </w:r>
            <w:r>
              <w:rPr>
                <w:rFonts w:hint="eastAsia" w:ascii="方正仿宋_GBK" w:hAnsi="方正仿宋_GBK" w:eastAsia="方正仿宋_GBK" w:cs="方正仿宋_GBK"/>
                <w:i w:val="0"/>
                <w:iCs w:val="0"/>
                <w:color w:val="auto"/>
                <w:kern w:val="0"/>
                <w:sz w:val="32"/>
                <w:szCs w:val="32"/>
                <w:u w:val="none" w:color="auto"/>
                <w:lang w:val="en-US" w:eastAsia="zh-CN" w:bidi="ar"/>
              </w:rPr>
              <w:t>等名义违反工程建设强制性标准，与设计单位约定钢筋、混凝土经济指标上限等内容，降低工程结构安全度和抗震性能的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23</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使用不合格建筑材料、构配件，包括：钢筋、连接件、预拌混凝土、预制装配式建筑构件、防水材料、门窗、排水管材等重要结构性和功能性建筑材料</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24</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涉及建筑主体或者承重结构变动的装修工程，没有设计方案擅自施工，或者在装修过程中擅自变动房屋建筑主体和承重结构的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25</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建设单位未按规定组织已预售商品房所有购房业主参与所购商品房户内施工质量检查的。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26</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未组织分户验收或分户验收记录不真实的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27</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未及时、如实公开住宅工程质量信息的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28</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质量安全管理人员数量和资格不满足要求的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29</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安全文明施工管理不到位，被市住房城乡建委纳入督办的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30</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重大市政工程建设单位未按建设计划实施的，未按期按量完成年度建设任务的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31</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建设单位未组织参建单位开展工程施工质量评价的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32</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建设单位在商品房销售时，进行虚假宣传的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33</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kern w:val="0"/>
                <w:sz w:val="28"/>
                <w:szCs w:val="28"/>
                <w:u w:val="none" w:color="auto"/>
                <w:lang w:val="en-US" w:eastAsia="zh-CN" w:bidi="ar"/>
              </w:rPr>
            </w:pPr>
            <w:r>
              <w:rPr>
                <w:rFonts w:hint="eastAsia" w:ascii="方正仿宋_GBK" w:hAnsi="方正仿宋_GBK" w:eastAsia="方正仿宋_GBK" w:cs="方正仿宋_GBK"/>
                <w:i w:val="0"/>
                <w:iCs w:val="0"/>
                <w:color w:val="auto"/>
                <w:kern w:val="0"/>
                <w:sz w:val="32"/>
                <w:szCs w:val="32"/>
                <w:u w:val="none" w:color="auto"/>
                <w:lang w:val="en-US" w:eastAsia="zh-CN" w:bidi="ar"/>
              </w:rPr>
              <w:fldChar w:fldCharType="begin"/>
            </w:r>
            <w:r>
              <w:rPr>
                <w:rFonts w:hint="eastAsia" w:ascii="方正仿宋_GBK" w:hAnsi="方正仿宋_GBK" w:eastAsia="方正仿宋_GBK" w:cs="方正仿宋_GBK"/>
                <w:i w:val="0"/>
                <w:iCs w:val="0"/>
                <w:color w:val="auto"/>
                <w:kern w:val="0"/>
                <w:sz w:val="32"/>
                <w:szCs w:val="32"/>
                <w:u w:val="none" w:color="auto"/>
                <w:lang w:val="en-US" w:eastAsia="zh-CN" w:bidi="ar"/>
              </w:rPr>
              <w:instrText xml:space="preserve"> HYPERLINK "https://gov.cbi360.net/www.cbi360.net/hyjd/1zt1258.html" \o "https://gov.cbi360.net/www.cbi360.net/hyjd/1zt1258.html" </w:instrText>
            </w:r>
            <w:r>
              <w:rPr>
                <w:rFonts w:hint="eastAsia" w:ascii="方正仿宋_GBK" w:hAnsi="方正仿宋_GBK" w:eastAsia="方正仿宋_GBK" w:cs="方正仿宋_GBK"/>
                <w:i w:val="0"/>
                <w:iCs w:val="0"/>
                <w:color w:val="auto"/>
                <w:kern w:val="0"/>
                <w:sz w:val="32"/>
                <w:szCs w:val="32"/>
                <w:u w:val="none" w:color="auto"/>
                <w:lang w:val="en-US" w:eastAsia="zh-CN" w:bidi="ar"/>
              </w:rPr>
              <w:fldChar w:fldCharType="separate"/>
            </w:r>
            <w:r>
              <w:rPr>
                <w:rFonts w:hint="eastAsia" w:ascii="方正仿宋_GBK" w:hAnsi="方正仿宋_GBK" w:eastAsia="方正仿宋_GBK" w:cs="方正仿宋_GBK"/>
                <w:i w:val="0"/>
                <w:iCs w:val="0"/>
                <w:color w:val="auto"/>
                <w:kern w:val="0"/>
                <w:sz w:val="32"/>
                <w:szCs w:val="32"/>
                <w:u w:val="none" w:color="auto"/>
                <w:lang w:val="en-US" w:eastAsia="zh-CN" w:bidi="ar"/>
              </w:rPr>
              <w:t>未依法办理初步设计审批、施工图审查备案、施工许可（含工程质量安全监督）等建设手续，擅自开工建设的</w:t>
            </w:r>
            <w:r>
              <w:rPr>
                <w:rFonts w:hint="eastAsia" w:ascii="方正仿宋_GBK" w:hAnsi="方正仿宋_GBK" w:eastAsia="方正仿宋_GBK" w:cs="方正仿宋_GBK"/>
                <w:i w:val="0"/>
                <w:iCs w:val="0"/>
                <w:color w:val="auto"/>
                <w:kern w:val="0"/>
                <w:sz w:val="32"/>
                <w:szCs w:val="32"/>
                <w:u w:val="none" w:color="auto"/>
                <w:lang w:val="en-US" w:eastAsia="zh-CN" w:bidi="ar"/>
              </w:rPr>
              <w:fldChar w:fldCharType="end"/>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34</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kern w:val="0"/>
                <w:sz w:val="32"/>
                <w:szCs w:val="32"/>
                <w:u w:val="none" w:color="auto"/>
                <w:lang w:val="en-US" w:eastAsia="zh-CN" w:bidi="ar"/>
              </w:rPr>
            </w:pPr>
            <w:r>
              <w:rPr>
                <w:rFonts w:hint="eastAsia" w:ascii="方正仿宋_GBK" w:hAnsi="方正仿宋_GBK" w:eastAsia="方正仿宋_GBK" w:cs="方正仿宋_GBK"/>
                <w:i w:val="0"/>
                <w:iCs w:val="0"/>
                <w:color w:val="auto"/>
                <w:kern w:val="0"/>
                <w:sz w:val="32"/>
                <w:szCs w:val="32"/>
                <w:u w:val="none" w:color="auto"/>
                <w:lang w:val="en-US" w:eastAsia="zh-CN" w:bidi="ar"/>
              </w:rPr>
              <w:t>未督促落实监理“十不准”工作的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35</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kern w:val="0"/>
                <w:sz w:val="32"/>
                <w:szCs w:val="32"/>
                <w:u w:val="none" w:color="auto"/>
                <w:lang w:val="en-US" w:eastAsia="zh-CN" w:bidi="ar"/>
              </w:rPr>
            </w:pPr>
            <w:r>
              <w:rPr>
                <w:rFonts w:hint="eastAsia" w:ascii="方正仿宋_GBK" w:hAnsi="方正仿宋_GBK" w:eastAsia="方正仿宋_GBK" w:cs="方正仿宋_GBK"/>
                <w:i w:val="0"/>
                <w:iCs w:val="0"/>
                <w:color w:val="auto"/>
                <w:kern w:val="0"/>
                <w:sz w:val="32"/>
                <w:szCs w:val="32"/>
                <w:u w:val="none" w:color="auto"/>
                <w:lang w:val="en-US" w:eastAsia="zh-CN" w:bidi="ar"/>
              </w:rPr>
              <w:t>对勘察、设计、施工、工程监理等单位提出不符合安全生产法律法规和强制性标准规定的要求的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36</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default" w:ascii="Times New Roman" w:hAnsi="Times New Roman" w:eastAsia="方正仿宋_GBK" w:cs="Times New Roman"/>
                <w:color w:val="auto"/>
                <w:sz w:val="32"/>
                <w:szCs w:val="32"/>
                <w:u w:val="none"/>
              </w:rPr>
              <w:t>建设单位存在压缩合同工期后未调整保障工程质量安全的技术措施相关费用的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37</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不履行房屋保修义务；或者无正当理由，拖延履行保修义务</w:t>
            </w:r>
            <w:r>
              <w:rPr>
                <w:rFonts w:hint="default" w:ascii="Times New Roman" w:hAnsi="Times New Roman" w:eastAsia="方正仿宋_GBK" w:cs="Times New Roman"/>
                <w:i w:val="0"/>
                <w:iCs w:val="0"/>
                <w:color w:val="auto"/>
                <w:kern w:val="0"/>
                <w:sz w:val="32"/>
                <w:szCs w:val="32"/>
                <w:u w:val="none" w:color="auto"/>
                <w:lang w:val="en-US" w:eastAsia="zh-CN" w:bidi="ar"/>
              </w:rPr>
              <w:t>15</w:t>
            </w:r>
            <w:r>
              <w:rPr>
                <w:rFonts w:hint="eastAsia" w:ascii="方正仿宋_GBK" w:hAnsi="方正仿宋_GBK" w:eastAsia="方正仿宋_GBK" w:cs="方正仿宋_GBK"/>
                <w:i w:val="0"/>
                <w:iCs w:val="0"/>
                <w:color w:val="auto"/>
                <w:kern w:val="0"/>
                <w:sz w:val="32"/>
                <w:szCs w:val="32"/>
                <w:u w:val="none" w:color="auto"/>
                <w:lang w:val="en-US" w:eastAsia="zh-CN" w:bidi="ar"/>
              </w:rPr>
              <w:t>天以上的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38</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建设单位未按照国家规定办理工程质量监督手续的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39</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建设单位未提供建设工程安全生产作业环境及安全施工措施所需费用的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40</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建设单位未将保证安全施工的措施或者拆除工程的有关资料报送有关部门备案的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41</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接到监理单位报告后，未责令安装单位、使用单位立即停工整改的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42</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建设单位未向施工单位提供施工现场及毗邻区域内供水、供气、供热等地下管线资料，或未组织地下管线单位开展技术交底的，或未督促施工单位与管线单位签订管线保护协议的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43</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建设单位未按照国家规定将竣工验收报告、有关认可文件或者准许使用文件报送备案的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44</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建设单位未建立建筑工程各方主体项目负责人质量终身责任信息档案的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45</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未按规定时限审定竣工结算的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46</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建设单位未在规定期限向建设行政主管部门或者其他有关部门移交建设项目档案的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47</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未切实落实项目法人责任制，或未建立健全项目质量管理体系，或未按照规定配备相应人员的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48</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按照合同约定应由承包单位购入用于工程的建筑材料、建筑构配件和设备，指定其他生产厂、供应商提供的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49</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未按照规定对建设工程质量安全风险进行评估，并明确控制风险的费用，或者未按照规定组织有关单位开展工程风险管理的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50</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已购买住宅工程质量潜在缺陷保险的项目，未按要求对风险管理机构检查报告中的质量缺陷问题进行整改的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51</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未定期对有关勘察、设计、施工、监理、监测等单位质量管理体系运行情况、实体质量情况进行检查，或未按照规定督促有关责任主体和项目负责人履行法定责任和合同义务的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52</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危大工程发生险情的，未在应急抢险结束后组织勘察、设计、施工、监理等单位制定工程恢复方案，并对应急抢险工作进行后评估的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53</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未组织参建单位相关人员开展在建工程关键节点施工前条件核查及验收工作，或未召开核查（验收）会，或未签署《关键节点施工前条件核查（验收）记录表》的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54</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司法机关和其他行政主管部门抄送的违法违规行为</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55</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提供虚假基础信息、优良信用信息的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56</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未按规定在商品房买卖合同中明确在其注销情形下承接质量责任的其他房地产开发企业或者具有承接能力的法人及其法律责任的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57</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在建设工程招投标及合同订立中，未制定合理的价格风险控制条款，明确材料价格波动风险分担原则、风险范围及调整方法，防范工程计价纠纷和合同履行风险的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58</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kern w:val="2"/>
                <w:sz w:val="32"/>
                <w:szCs w:val="32"/>
                <w:u w:val="none" w:color="auto"/>
                <w:lang w:val="en-US" w:eastAsia="zh-CN" w:bidi="ar-SA"/>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建设单位未组织设计、施工、监理等单位制定质量常见问题防治措施的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eastAsia" w:ascii="Times New Roman" w:hAnsi="Times New Roman" w:cs="Times New Roman"/>
                <w:i w:val="0"/>
                <w:iCs w:val="0"/>
                <w:color w:val="auto"/>
                <w:kern w:val="0"/>
                <w:sz w:val="32"/>
                <w:szCs w:val="32"/>
                <w:u w:val="none" w:color="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59</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施工合同中未按相关规定约定施工过程结算周期、计价方法，以及价款支付时间、程序、方法和支付上限等内容的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60</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未按照规定在建筑物的明显部位镶刻建筑铭牌，标注竣工时间，建设、勘察、设计、施工、监理等单位名称和项目主要负责人姓名等信息的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61</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建设单位要求施工单位提供履约担保，但未向施工单位提供对等的工程款支付担保的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62</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建设单位拒不提供或者无法提供工程施工合同、农民工工资专用账户有关资料的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63</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建筑工程开工建设前，建设、勘察、设计、施工、监理单位未按规定签署工程质量终身责任承诺书、法定代表人授权书并报工程质量监督机构备案的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64</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未定期对项目质量安全机构和人员履职情况进行考核的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65</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建设单位未组织开展工程质量安全信息公示的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66</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未按照规定制定工程创优目标和计划、列支相应创优奖励费用、督促有关单位落实，或者合同未约定对等奖罚条款，或者未按照合同约定及时给予奖励兑现的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67</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未督促有关单位落实工程质量标准化管理等有关规定，将质量管理要求落实到每个项目和员工，或者未督促有关单位按照规定建立质量责任标识制度，落实举牌验收制度的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68</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未定期对项目质量常见问题防治工作开展情况进行检查评估，或对工作落实不到位的主体责任单位，未按照合同约定追究违约责任的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6</w:t>
            </w:r>
            <w:r>
              <w:rPr>
                <w:rFonts w:hint="eastAsia" w:ascii="Times New Roman" w:hAnsi="Times New Roman" w:cs="Times New Roman"/>
                <w:i w:val="0"/>
                <w:iCs w:val="0"/>
                <w:color w:val="auto"/>
                <w:kern w:val="0"/>
                <w:sz w:val="32"/>
                <w:szCs w:val="32"/>
                <w:u w:val="none" w:color="auto"/>
                <w:lang w:val="en-US" w:eastAsia="zh-CN" w:bidi="ar"/>
              </w:rPr>
              <w:t>9</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未按照规定进行质量安全资料归档的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kern w:val="2"/>
                <w:sz w:val="32"/>
                <w:szCs w:val="32"/>
                <w:u w:val="none" w:color="auto"/>
                <w:lang w:val="en-US" w:eastAsia="zh-CN" w:bidi="ar-SA"/>
              </w:rPr>
            </w:pPr>
            <w:r>
              <w:rPr>
                <w:rFonts w:hint="default" w:ascii="Times New Roman" w:hAnsi="Times New Roman" w:eastAsia="宋体" w:cs="Times New Roman"/>
                <w:i w:val="0"/>
                <w:iCs w:val="0"/>
                <w:color w:val="auto"/>
                <w:kern w:val="0"/>
                <w:sz w:val="32"/>
                <w:szCs w:val="32"/>
                <w:u w:val="none" w:color="auto"/>
                <w:lang w:val="en-US" w:eastAsia="zh-CN" w:bidi="ar"/>
              </w:rPr>
              <w:t>70</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建设单位未按规定要求建设智慧工地的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lang w:val="en-US"/>
              </w:rPr>
            </w:pPr>
            <w:r>
              <w:rPr>
                <w:rFonts w:hint="default" w:ascii="Times New Roman" w:hAnsi="Times New Roman" w:eastAsia="宋体" w:cs="Times New Roman"/>
                <w:i w:val="0"/>
                <w:iCs w:val="0"/>
                <w:color w:val="auto"/>
                <w:kern w:val="0"/>
                <w:sz w:val="32"/>
                <w:szCs w:val="32"/>
                <w:u w:val="none" w:color="auto"/>
                <w:lang w:val="en-US" w:eastAsia="zh-CN" w:bidi="ar"/>
              </w:rPr>
              <w:t>7</w:t>
            </w:r>
            <w:r>
              <w:rPr>
                <w:rFonts w:hint="eastAsia" w:ascii="Times New Roman" w:hAnsi="Times New Roman" w:cs="Times New Roman"/>
                <w:i w:val="0"/>
                <w:iCs w:val="0"/>
                <w:color w:val="auto"/>
                <w:kern w:val="0"/>
                <w:sz w:val="32"/>
                <w:szCs w:val="32"/>
                <w:u w:val="none" w:color="auto"/>
                <w:lang w:val="en-US" w:eastAsia="zh-CN" w:bidi="ar"/>
              </w:rPr>
              <w:t>1</w:t>
            </w:r>
          </w:p>
        </w:tc>
        <w:tc>
          <w:tcPr>
            <w:tcW w:w="372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auto"/>
                <w:sz w:val="32"/>
                <w:szCs w:val="32"/>
                <w:u w:val="none" w:color="auto"/>
              </w:rPr>
            </w:pPr>
            <w:r>
              <w:rPr>
                <w:rFonts w:hint="eastAsia" w:ascii="方正仿宋_GBK" w:hAnsi="方正仿宋_GBK" w:eastAsia="方正仿宋_GBK" w:cs="方正仿宋_GBK"/>
                <w:i w:val="0"/>
                <w:iCs w:val="0"/>
                <w:color w:val="auto"/>
                <w:kern w:val="0"/>
                <w:sz w:val="32"/>
                <w:szCs w:val="32"/>
                <w:u w:val="none" w:color="auto"/>
                <w:lang w:val="en-US" w:eastAsia="zh-CN" w:bidi="ar"/>
              </w:rPr>
              <w:t>监督检查中因质量安全失信行为被行政机关依法依规责令改正、限期改正的</w:t>
            </w:r>
          </w:p>
        </w:tc>
        <w:tc>
          <w:tcPr>
            <w:tcW w:w="63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auto"/>
                <w:sz w:val="32"/>
                <w:szCs w:val="32"/>
                <w:u w:val="none" w:color="auto"/>
              </w:rPr>
            </w:pPr>
            <w:r>
              <w:rPr>
                <w:rFonts w:hint="default" w:ascii="Times New Roman" w:hAnsi="Times New Roman" w:eastAsia="宋体" w:cs="Times New Roman"/>
                <w:i w:val="0"/>
                <w:iCs w:val="0"/>
                <w:color w:val="auto"/>
                <w:kern w:val="0"/>
                <w:sz w:val="32"/>
                <w:szCs w:val="32"/>
                <w:u w:val="none" w:color="auto"/>
                <w:lang w:val="en-US" w:eastAsia="zh-CN" w:bidi="ar"/>
              </w:rPr>
              <w:t>3</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小标宋_GBK" w:hAnsi="方正小标宋_GBK" w:eastAsia="方正小标宋_GBK" w:cs="方正小标宋_GBK"/>
          <w:b w:val="0"/>
          <w:bCs w:val="0"/>
          <w:i w:val="0"/>
          <w:iCs w:val="0"/>
          <w:color w:val="auto"/>
          <w:kern w:val="0"/>
          <w:sz w:val="28"/>
          <w:szCs w:val="28"/>
          <w:u w:val="none" w:color="auto"/>
          <w:lang w:val="en-US" w:eastAsia="zh-CN"/>
        </w:rPr>
      </w:pPr>
      <w:r>
        <w:rPr>
          <w:rFonts w:hint="eastAsia" w:ascii="方正仿宋_GBK" w:eastAsia="方正仿宋_GBK" w:cs="方正仿宋_GBK"/>
          <w:b w:val="0"/>
          <w:bCs w:val="0"/>
          <w:i w:val="0"/>
          <w:iCs w:val="0"/>
          <w:color w:val="auto"/>
          <w:kern w:val="0"/>
          <w:sz w:val="28"/>
          <w:szCs w:val="28"/>
          <w:u w:val="none" w:color="auto"/>
          <w:lang w:val="en-US" w:eastAsia="zh-CN"/>
        </w:rPr>
        <w:t>注：本清单中以“、”“或者”“；”等表述的并列关系，表示出现满足条件的任一作为均记分，出现一次记分一次，重复记分。</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2279650</wp:posOffset>
              </wp:positionH>
              <wp:positionV relativeFrom="paragraph">
                <wp:posOffset>-112395</wp:posOffset>
              </wp:positionV>
              <wp:extent cx="601345" cy="252095"/>
              <wp:effectExtent l="0" t="0" r="0" b="0"/>
              <wp:wrapNone/>
              <wp:docPr id="1" name="文本框 4"/>
              <wp:cNvGraphicFramePr/>
              <a:graphic xmlns:a="http://schemas.openxmlformats.org/drawingml/2006/main">
                <a:graphicData uri="http://schemas.microsoft.com/office/word/2010/wordprocessingShape">
                  <wps:wsp>
                    <wps:cNvSpPr/>
                    <wps:spPr>
                      <a:xfrm>
                        <a:off x="0" y="0"/>
                        <a:ext cx="601344" cy="252095"/>
                      </a:xfrm>
                      <a:prstGeom prst="rect">
                        <a:avLst/>
                      </a:prstGeom>
                      <a:noFill/>
                      <a:ln w="9525" cap="flat" cmpd="sng">
                        <a:noFill/>
                        <a:prstDash val="solid"/>
                        <a:miter/>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square" lIns="0" tIns="0" rIns="0" bIns="0" anchor="t" anchorCtr="0" upright="1">
                      <a:noAutofit/>
                    </wps:bodyPr>
                  </wps:wsp>
                </a:graphicData>
              </a:graphic>
            </wp:anchor>
          </w:drawing>
        </mc:Choice>
        <mc:Fallback>
          <w:pict>
            <v:rect id="文本框 4" o:spid="_x0000_s1026" o:spt="1" style="position:absolute;left:0pt;margin-left:179.5pt;margin-top:-8.85pt;height:19.85pt;width:47.35pt;mso-position-horizontal-relative:margin;z-index:251659264;mso-width-relative:page;mso-height-relative:page;" filled="f" stroked="f" coordsize="21600,21600" o:gfxdata="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yENDcAAAACgEAAA8AAAAAAAAAAQAgAAAAIgAA&#10;AGRycy9kb3ducmV2LnhtbFBLAQIUABQAAAAIAIdO4kDn4Ki8BAIAAPYDAAAOAAAAAAAAAAEAIAAA&#10;ACsBAABkcnMvZTJvRG9jLnhtbFBLBQYAAAAABgAGAFkBAAChBQAAAAA=&#10;">
              <v:fill on="f" focussize="0,0"/>
              <v:stroke on="f" joinstyle="miter"/>
              <v:imagedata o:title=""/>
              <o:lock v:ext="edit" aspectratio="f"/>
              <v:textbox inset="0mm,0mm,0mm,0mm">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1"/>
  </w:compat>
  <w:rsids>
    <w:rsidRoot w:val="00000000"/>
    <w:rsid w:val="00306F13"/>
    <w:rsid w:val="00953D9C"/>
    <w:rsid w:val="00977B14"/>
    <w:rsid w:val="00D74EA1"/>
    <w:rsid w:val="00DB635A"/>
    <w:rsid w:val="00FF56BA"/>
    <w:rsid w:val="01115B19"/>
    <w:rsid w:val="02072A78"/>
    <w:rsid w:val="023B3DA9"/>
    <w:rsid w:val="025F4662"/>
    <w:rsid w:val="026161C7"/>
    <w:rsid w:val="02BF3353"/>
    <w:rsid w:val="032B09E8"/>
    <w:rsid w:val="03355182"/>
    <w:rsid w:val="03576A65"/>
    <w:rsid w:val="035E0DBD"/>
    <w:rsid w:val="03E52EFB"/>
    <w:rsid w:val="03EE6253"/>
    <w:rsid w:val="0405748B"/>
    <w:rsid w:val="043164D2"/>
    <w:rsid w:val="043438CC"/>
    <w:rsid w:val="044E0E32"/>
    <w:rsid w:val="045A3333"/>
    <w:rsid w:val="047C774D"/>
    <w:rsid w:val="04920E1D"/>
    <w:rsid w:val="049B394B"/>
    <w:rsid w:val="04A77B1E"/>
    <w:rsid w:val="04C11604"/>
    <w:rsid w:val="04C44C50"/>
    <w:rsid w:val="04CB2483"/>
    <w:rsid w:val="04DF1A8A"/>
    <w:rsid w:val="04FF212C"/>
    <w:rsid w:val="0506793D"/>
    <w:rsid w:val="053242B0"/>
    <w:rsid w:val="055406CA"/>
    <w:rsid w:val="05597A8E"/>
    <w:rsid w:val="056F2E0E"/>
    <w:rsid w:val="0596483F"/>
    <w:rsid w:val="05B476AE"/>
    <w:rsid w:val="063E0A32"/>
    <w:rsid w:val="06847617"/>
    <w:rsid w:val="06B807E5"/>
    <w:rsid w:val="06BC02D5"/>
    <w:rsid w:val="06CB4FA1"/>
    <w:rsid w:val="07683FB9"/>
    <w:rsid w:val="077E558A"/>
    <w:rsid w:val="07A64001"/>
    <w:rsid w:val="08587AB3"/>
    <w:rsid w:val="086A1FB2"/>
    <w:rsid w:val="08864AEE"/>
    <w:rsid w:val="096178A3"/>
    <w:rsid w:val="09750C0F"/>
    <w:rsid w:val="099A0675"/>
    <w:rsid w:val="09A80FE4"/>
    <w:rsid w:val="09AD2157"/>
    <w:rsid w:val="09BC4A90"/>
    <w:rsid w:val="09EF276F"/>
    <w:rsid w:val="0A2C751F"/>
    <w:rsid w:val="0A73514E"/>
    <w:rsid w:val="0A9F23E7"/>
    <w:rsid w:val="0ADA341F"/>
    <w:rsid w:val="0AE71698"/>
    <w:rsid w:val="0B095AB3"/>
    <w:rsid w:val="0B5C3E34"/>
    <w:rsid w:val="0B5F3925"/>
    <w:rsid w:val="0B611CB1"/>
    <w:rsid w:val="0B6149B5"/>
    <w:rsid w:val="0B84338B"/>
    <w:rsid w:val="0B9C2483"/>
    <w:rsid w:val="0BD31C1D"/>
    <w:rsid w:val="0C063F25"/>
    <w:rsid w:val="0C191D25"/>
    <w:rsid w:val="0C3C3C66"/>
    <w:rsid w:val="0C4A1EDF"/>
    <w:rsid w:val="0C580AA0"/>
    <w:rsid w:val="0CAE0DA9"/>
    <w:rsid w:val="0CB437FC"/>
    <w:rsid w:val="0CE02843"/>
    <w:rsid w:val="0D2C7836"/>
    <w:rsid w:val="0D4728C2"/>
    <w:rsid w:val="0D6C2329"/>
    <w:rsid w:val="0DC61A39"/>
    <w:rsid w:val="0DCD726B"/>
    <w:rsid w:val="0E373DC9"/>
    <w:rsid w:val="0E490F76"/>
    <w:rsid w:val="0E936B90"/>
    <w:rsid w:val="0EE41D10"/>
    <w:rsid w:val="0EEE7499"/>
    <w:rsid w:val="0EF425D6"/>
    <w:rsid w:val="0EF6634E"/>
    <w:rsid w:val="0F40581B"/>
    <w:rsid w:val="0F45125C"/>
    <w:rsid w:val="0FE80E70"/>
    <w:rsid w:val="0FEB39D9"/>
    <w:rsid w:val="10185630"/>
    <w:rsid w:val="102B0279"/>
    <w:rsid w:val="102B7629"/>
    <w:rsid w:val="104D44FD"/>
    <w:rsid w:val="10593038"/>
    <w:rsid w:val="10615A49"/>
    <w:rsid w:val="10A84A5E"/>
    <w:rsid w:val="10CC55B8"/>
    <w:rsid w:val="10E16B8A"/>
    <w:rsid w:val="10F93ED3"/>
    <w:rsid w:val="112C42A9"/>
    <w:rsid w:val="112D3F28"/>
    <w:rsid w:val="112E1DCF"/>
    <w:rsid w:val="115A7068"/>
    <w:rsid w:val="1166520A"/>
    <w:rsid w:val="117A4C13"/>
    <w:rsid w:val="119A3908"/>
    <w:rsid w:val="12033BFC"/>
    <w:rsid w:val="122272CD"/>
    <w:rsid w:val="123A3F3B"/>
    <w:rsid w:val="12415B32"/>
    <w:rsid w:val="12993BC0"/>
    <w:rsid w:val="13385187"/>
    <w:rsid w:val="133F2B89"/>
    <w:rsid w:val="13412E55"/>
    <w:rsid w:val="13567656"/>
    <w:rsid w:val="13737F6D"/>
    <w:rsid w:val="137912FC"/>
    <w:rsid w:val="138C102F"/>
    <w:rsid w:val="139006BC"/>
    <w:rsid w:val="13906D71"/>
    <w:rsid w:val="13914897"/>
    <w:rsid w:val="139231D1"/>
    <w:rsid w:val="13963FB4"/>
    <w:rsid w:val="139F4D6C"/>
    <w:rsid w:val="13B54A2A"/>
    <w:rsid w:val="14103F48"/>
    <w:rsid w:val="141F6347"/>
    <w:rsid w:val="143771ED"/>
    <w:rsid w:val="14496F20"/>
    <w:rsid w:val="145002AE"/>
    <w:rsid w:val="14B52807"/>
    <w:rsid w:val="14D964F6"/>
    <w:rsid w:val="14E63789"/>
    <w:rsid w:val="1504385E"/>
    <w:rsid w:val="150C68CB"/>
    <w:rsid w:val="152F4368"/>
    <w:rsid w:val="15862908"/>
    <w:rsid w:val="15B66837"/>
    <w:rsid w:val="15F555B1"/>
    <w:rsid w:val="16500A3A"/>
    <w:rsid w:val="16610551"/>
    <w:rsid w:val="169F1079"/>
    <w:rsid w:val="16A9014A"/>
    <w:rsid w:val="16C15493"/>
    <w:rsid w:val="16DF591A"/>
    <w:rsid w:val="17082414"/>
    <w:rsid w:val="174F6F43"/>
    <w:rsid w:val="176C3651"/>
    <w:rsid w:val="17946704"/>
    <w:rsid w:val="17A51286"/>
    <w:rsid w:val="17B339D8"/>
    <w:rsid w:val="17E92EF4"/>
    <w:rsid w:val="17F0630A"/>
    <w:rsid w:val="180715CC"/>
    <w:rsid w:val="182B52BA"/>
    <w:rsid w:val="183121A5"/>
    <w:rsid w:val="184E0FA9"/>
    <w:rsid w:val="18694035"/>
    <w:rsid w:val="186E5ACF"/>
    <w:rsid w:val="188B4249"/>
    <w:rsid w:val="189A5A8D"/>
    <w:rsid w:val="18E92A80"/>
    <w:rsid w:val="191C2E55"/>
    <w:rsid w:val="19277601"/>
    <w:rsid w:val="19375EE1"/>
    <w:rsid w:val="193C34F7"/>
    <w:rsid w:val="19566367"/>
    <w:rsid w:val="19CC6629"/>
    <w:rsid w:val="19E576EB"/>
    <w:rsid w:val="1A312930"/>
    <w:rsid w:val="1A3146DE"/>
    <w:rsid w:val="1A373B4F"/>
    <w:rsid w:val="1ABC486B"/>
    <w:rsid w:val="1ACF6C99"/>
    <w:rsid w:val="1BFE4A94"/>
    <w:rsid w:val="1C3109C5"/>
    <w:rsid w:val="1C4032FE"/>
    <w:rsid w:val="1C6E5776"/>
    <w:rsid w:val="1C9C1842"/>
    <w:rsid w:val="1CA72318"/>
    <w:rsid w:val="1CA92C52"/>
    <w:rsid w:val="1CB735C0"/>
    <w:rsid w:val="1CF66107"/>
    <w:rsid w:val="1D8B05A9"/>
    <w:rsid w:val="1D8F0813"/>
    <w:rsid w:val="1D9B4C90"/>
    <w:rsid w:val="1DA32AED"/>
    <w:rsid w:val="1DAD49C3"/>
    <w:rsid w:val="1DB46794"/>
    <w:rsid w:val="1DCA10D2"/>
    <w:rsid w:val="1DD06133"/>
    <w:rsid w:val="1E162569"/>
    <w:rsid w:val="1E1D56A5"/>
    <w:rsid w:val="1E390005"/>
    <w:rsid w:val="1E4A3FC0"/>
    <w:rsid w:val="1EA23DFC"/>
    <w:rsid w:val="1EBA3BE4"/>
    <w:rsid w:val="1ED815CC"/>
    <w:rsid w:val="1EDF6DFF"/>
    <w:rsid w:val="1EE869A7"/>
    <w:rsid w:val="1F0423C1"/>
    <w:rsid w:val="1F2C1918"/>
    <w:rsid w:val="1FAA4ABA"/>
    <w:rsid w:val="20282F0E"/>
    <w:rsid w:val="202D1DEC"/>
    <w:rsid w:val="206F41B2"/>
    <w:rsid w:val="207D067D"/>
    <w:rsid w:val="208B7348"/>
    <w:rsid w:val="20B6593D"/>
    <w:rsid w:val="212B207E"/>
    <w:rsid w:val="214F7EDA"/>
    <w:rsid w:val="2151580B"/>
    <w:rsid w:val="217F21D3"/>
    <w:rsid w:val="2183579A"/>
    <w:rsid w:val="219739C1"/>
    <w:rsid w:val="21A2394F"/>
    <w:rsid w:val="21AB2FC8"/>
    <w:rsid w:val="21BF054D"/>
    <w:rsid w:val="21D520B1"/>
    <w:rsid w:val="21DF0EC4"/>
    <w:rsid w:val="21EF55AB"/>
    <w:rsid w:val="21F726B1"/>
    <w:rsid w:val="22765384"/>
    <w:rsid w:val="22D24584"/>
    <w:rsid w:val="23137077"/>
    <w:rsid w:val="2346744C"/>
    <w:rsid w:val="2369138D"/>
    <w:rsid w:val="23706277"/>
    <w:rsid w:val="238910E7"/>
    <w:rsid w:val="239D4B92"/>
    <w:rsid w:val="242239E6"/>
    <w:rsid w:val="24B228BF"/>
    <w:rsid w:val="24C04FDC"/>
    <w:rsid w:val="24D171E9"/>
    <w:rsid w:val="24D81A82"/>
    <w:rsid w:val="24DC3351"/>
    <w:rsid w:val="24E24F53"/>
    <w:rsid w:val="24E76A0D"/>
    <w:rsid w:val="25113A8A"/>
    <w:rsid w:val="255045B2"/>
    <w:rsid w:val="25615A52"/>
    <w:rsid w:val="258E0C37"/>
    <w:rsid w:val="259E127D"/>
    <w:rsid w:val="25DA74AE"/>
    <w:rsid w:val="26395046"/>
    <w:rsid w:val="264C6511"/>
    <w:rsid w:val="26847BBC"/>
    <w:rsid w:val="26C37006"/>
    <w:rsid w:val="271E5FEA"/>
    <w:rsid w:val="2734580E"/>
    <w:rsid w:val="274C7976"/>
    <w:rsid w:val="27546835"/>
    <w:rsid w:val="27625CDE"/>
    <w:rsid w:val="276F6846"/>
    <w:rsid w:val="27A04BA3"/>
    <w:rsid w:val="27B32BD6"/>
    <w:rsid w:val="27B64475"/>
    <w:rsid w:val="27BF157B"/>
    <w:rsid w:val="285E0D94"/>
    <w:rsid w:val="28667C49"/>
    <w:rsid w:val="28700AC7"/>
    <w:rsid w:val="28DC7F0B"/>
    <w:rsid w:val="28E37103"/>
    <w:rsid w:val="29575C73"/>
    <w:rsid w:val="2961371B"/>
    <w:rsid w:val="29657F00"/>
    <w:rsid w:val="29CE3CF8"/>
    <w:rsid w:val="2A0E0598"/>
    <w:rsid w:val="2A385615"/>
    <w:rsid w:val="2A756869"/>
    <w:rsid w:val="2A830F86"/>
    <w:rsid w:val="2AA809EC"/>
    <w:rsid w:val="2AAF24DE"/>
    <w:rsid w:val="2AC670C5"/>
    <w:rsid w:val="2AC86999"/>
    <w:rsid w:val="2AFF7DF7"/>
    <w:rsid w:val="2B3A3ADD"/>
    <w:rsid w:val="2B735A8E"/>
    <w:rsid w:val="2B754232"/>
    <w:rsid w:val="2BAF1907"/>
    <w:rsid w:val="2BDC3B15"/>
    <w:rsid w:val="2C091017"/>
    <w:rsid w:val="2C1300E8"/>
    <w:rsid w:val="2C66290D"/>
    <w:rsid w:val="2C7F39CF"/>
    <w:rsid w:val="2C842D93"/>
    <w:rsid w:val="2C910A04"/>
    <w:rsid w:val="2CA927FA"/>
    <w:rsid w:val="2CE1615C"/>
    <w:rsid w:val="2CE455E0"/>
    <w:rsid w:val="2CFA4E04"/>
    <w:rsid w:val="2D0619FA"/>
    <w:rsid w:val="2D0B6466"/>
    <w:rsid w:val="2D2233D4"/>
    <w:rsid w:val="2D4F6EFD"/>
    <w:rsid w:val="2D6A01DB"/>
    <w:rsid w:val="2DE0049D"/>
    <w:rsid w:val="2DEB0DCA"/>
    <w:rsid w:val="2DEB1BEA"/>
    <w:rsid w:val="2E32483A"/>
    <w:rsid w:val="2E542DA6"/>
    <w:rsid w:val="2EBC05C2"/>
    <w:rsid w:val="2EC467A4"/>
    <w:rsid w:val="2EE67D35"/>
    <w:rsid w:val="2F1E74CF"/>
    <w:rsid w:val="2F53767E"/>
    <w:rsid w:val="2F7D2B49"/>
    <w:rsid w:val="2F8D6403"/>
    <w:rsid w:val="2F94096B"/>
    <w:rsid w:val="2FC57655"/>
    <w:rsid w:val="30134B5A"/>
    <w:rsid w:val="301377D6"/>
    <w:rsid w:val="3050190A"/>
    <w:rsid w:val="30542A7D"/>
    <w:rsid w:val="308515CE"/>
    <w:rsid w:val="30876BA6"/>
    <w:rsid w:val="30A92DC8"/>
    <w:rsid w:val="30B67293"/>
    <w:rsid w:val="30C62613"/>
    <w:rsid w:val="30DB6CFA"/>
    <w:rsid w:val="30ED7159"/>
    <w:rsid w:val="30F1651D"/>
    <w:rsid w:val="310F3573"/>
    <w:rsid w:val="31313307"/>
    <w:rsid w:val="313A1C72"/>
    <w:rsid w:val="316B62D0"/>
    <w:rsid w:val="31805AB5"/>
    <w:rsid w:val="319C292D"/>
    <w:rsid w:val="31CB6D6E"/>
    <w:rsid w:val="31CF685F"/>
    <w:rsid w:val="31ED4F37"/>
    <w:rsid w:val="321F01B9"/>
    <w:rsid w:val="322102F2"/>
    <w:rsid w:val="322C3CB1"/>
    <w:rsid w:val="322F554F"/>
    <w:rsid w:val="32786EF6"/>
    <w:rsid w:val="32867865"/>
    <w:rsid w:val="32951856"/>
    <w:rsid w:val="32DA370D"/>
    <w:rsid w:val="333170A5"/>
    <w:rsid w:val="33500735"/>
    <w:rsid w:val="3350577D"/>
    <w:rsid w:val="335C42EF"/>
    <w:rsid w:val="335F7AA8"/>
    <w:rsid w:val="336631F3"/>
    <w:rsid w:val="3369683F"/>
    <w:rsid w:val="336E20A7"/>
    <w:rsid w:val="33BE6B8B"/>
    <w:rsid w:val="33CA3782"/>
    <w:rsid w:val="340E5459"/>
    <w:rsid w:val="34402563"/>
    <w:rsid w:val="345474EF"/>
    <w:rsid w:val="34930017"/>
    <w:rsid w:val="34A915E9"/>
    <w:rsid w:val="34AF1EA4"/>
    <w:rsid w:val="34B87A7E"/>
    <w:rsid w:val="34D128EE"/>
    <w:rsid w:val="34D14A2F"/>
    <w:rsid w:val="34FA3BF3"/>
    <w:rsid w:val="350031D3"/>
    <w:rsid w:val="35301D0A"/>
    <w:rsid w:val="35310108"/>
    <w:rsid w:val="353510CF"/>
    <w:rsid w:val="35362A5A"/>
    <w:rsid w:val="35683252"/>
    <w:rsid w:val="3583008C"/>
    <w:rsid w:val="35831E3A"/>
    <w:rsid w:val="359F479A"/>
    <w:rsid w:val="35E548A3"/>
    <w:rsid w:val="35FA6EBB"/>
    <w:rsid w:val="36154A5C"/>
    <w:rsid w:val="36B20007"/>
    <w:rsid w:val="36C24BE4"/>
    <w:rsid w:val="36D466C5"/>
    <w:rsid w:val="36DD1A1E"/>
    <w:rsid w:val="36E61051"/>
    <w:rsid w:val="37416766"/>
    <w:rsid w:val="374260F0"/>
    <w:rsid w:val="375D66BB"/>
    <w:rsid w:val="375F68D7"/>
    <w:rsid w:val="37DF3574"/>
    <w:rsid w:val="37F4701F"/>
    <w:rsid w:val="37FA03AE"/>
    <w:rsid w:val="38162B32"/>
    <w:rsid w:val="38174ABC"/>
    <w:rsid w:val="382B1748"/>
    <w:rsid w:val="383A0F36"/>
    <w:rsid w:val="383C09C6"/>
    <w:rsid w:val="383E029A"/>
    <w:rsid w:val="385A3964"/>
    <w:rsid w:val="385C2E16"/>
    <w:rsid w:val="38675A43"/>
    <w:rsid w:val="387463B2"/>
    <w:rsid w:val="38873084"/>
    <w:rsid w:val="38B44A00"/>
    <w:rsid w:val="38BB18EB"/>
    <w:rsid w:val="38FB262F"/>
    <w:rsid w:val="3902576C"/>
    <w:rsid w:val="390A69A0"/>
    <w:rsid w:val="39786733"/>
    <w:rsid w:val="397B72CC"/>
    <w:rsid w:val="39AC0218"/>
    <w:rsid w:val="39AD1B7B"/>
    <w:rsid w:val="39AD76AB"/>
    <w:rsid w:val="3A03179B"/>
    <w:rsid w:val="3A451DB4"/>
    <w:rsid w:val="3A541FF7"/>
    <w:rsid w:val="3A63223A"/>
    <w:rsid w:val="3ABA2535"/>
    <w:rsid w:val="3ABC194A"/>
    <w:rsid w:val="3AE30103"/>
    <w:rsid w:val="3B0F4F5A"/>
    <w:rsid w:val="3B985F13"/>
    <w:rsid w:val="3B9B1226"/>
    <w:rsid w:val="3B9D79CE"/>
    <w:rsid w:val="3C156DAA"/>
    <w:rsid w:val="3C22095C"/>
    <w:rsid w:val="3C221A9A"/>
    <w:rsid w:val="3CA01523"/>
    <w:rsid w:val="3CE82ECA"/>
    <w:rsid w:val="3CED1E93"/>
    <w:rsid w:val="3CF054E5"/>
    <w:rsid w:val="3CF17FD1"/>
    <w:rsid w:val="3CF56637"/>
    <w:rsid w:val="3D091C38"/>
    <w:rsid w:val="3D8D0218"/>
    <w:rsid w:val="3DBB413B"/>
    <w:rsid w:val="3DDC2A2F"/>
    <w:rsid w:val="3DEE144B"/>
    <w:rsid w:val="3EA53A04"/>
    <w:rsid w:val="3EBA2645"/>
    <w:rsid w:val="3EBB58F7"/>
    <w:rsid w:val="3EC62D97"/>
    <w:rsid w:val="3F0833B0"/>
    <w:rsid w:val="3F2A7D78"/>
    <w:rsid w:val="3F365475"/>
    <w:rsid w:val="3F402AB0"/>
    <w:rsid w:val="3F60143E"/>
    <w:rsid w:val="3F7B6278"/>
    <w:rsid w:val="3F8F587F"/>
    <w:rsid w:val="3FBD107E"/>
    <w:rsid w:val="3FCA4B09"/>
    <w:rsid w:val="3FDF05B5"/>
    <w:rsid w:val="406805AA"/>
    <w:rsid w:val="408D6263"/>
    <w:rsid w:val="40A315E2"/>
    <w:rsid w:val="40BB58A9"/>
    <w:rsid w:val="40BF3F42"/>
    <w:rsid w:val="40F77B80"/>
    <w:rsid w:val="411029F0"/>
    <w:rsid w:val="413E207F"/>
    <w:rsid w:val="417E204F"/>
    <w:rsid w:val="417E5FD2"/>
    <w:rsid w:val="41B4781F"/>
    <w:rsid w:val="41CC723D"/>
    <w:rsid w:val="41E73751"/>
    <w:rsid w:val="42295B17"/>
    <w:rsid w:val="423B16D9"/>
    <w:rsid w:val="424E1A22"/>
    <w:rsid w:val="4254662F"/>
    <w:rsid w:val="425B7C9B"/>
    <w:rsid w:val="42755200"/>
    <w:rsid w:val="42BD4000"/>
    <w:rsid w:val="42C6185C"/>
    <w:rsid w:val="42DF57C4"/>
    <w:rsid w:val="43000262"/>
    <w:rsid w:val="43324E9F"/>
    <w:rsid w:val="433A3D54"/>
    <w:rsid w:val="435C4EC8"/>
    <w:rsid w:val="43813731"/>
    <w:rsid w:val="4391606A"/>
    <w:rsid w:val="43AE09CA"/>
    <w:rsid w:val="43DE0B83"/>
    <w:rsid w:val="43EA39CC"/>
    <w:rsid w:val="442B719D"/>
    <w:rsid w:val="443133A9"/>
    <w:rsid w:val="44483A79"/>
    <w:rsid w:val="44562E10"/>
    <w:rsid w:val="44BA15F0"/>
    <w:rsid w:val="44C24001"/>
    <w:rsid w:val="44D0588E"/>
    <w:rsid w:val="44E65F41"/>
    <w:rsid w:val="44FA43DF"/>
    <w:rsid w:val="45091C30"/>
    <w:rsid w:val="451B2245"/>
    <w:rsid w:val="4541586E"/>
    <w:rsid w:val="456926CF"/>
    <w:rsid w:val="45A858ED"/>
    <w:rsid w:val="45BA06EF"/>
    <w:rsid w:val="45D6744D"/>
    <w:rsid w:val="465F41FD"/>
    <w:rsid w:val="467F21AA"/>
    <w:rsid w:val="46B102DF"/>
    <w:rsid w:val="46B75DE7"/>
    <w:rsid w:val="476B0F7D"/>
    <w:rsid w:val="479559FD"/>
    <w:rsid w:val="47B71E17"/>
    <w:rsid w:val="47D7609E"/>
    <w:rsid w:val="47E0311C"/>
    <w:rsid w:val="47E04ECA"/>
    <w:rsid w:val="47EE7652"/>
    <w:rsid w:val="47EF1F72"/>
    <w:rsid w:val="4867383D"/>
    <w:rsid w:val="48C66B22"/>
    <w:rsid w:val="48E629B4"/>
    <w:rsid w:val="48E72288"/>
    <w:rsid w:val="495F62C2"/>
    <w:rsid w:val="49855FD9"/>
    <w:rsid w:val="49CA7BE0"/>
    <w:rsid w:val="4A0112AD"/>
    <w:rsid w:val="4A176B9D"/>
    <w:rsid w:val="4A20088A"/>
    <w:rsid w:val="4A2E1B0E"/>
    <w:rsid w:val="4A58168F"/>
    <w:rsid w:val="4A722025"/>
    <w:rsid w:val="4AD52CE0"/>
    <w:rsid w:val="4AF32BD9"/>
    <w:rsid w:val="4B0613F2"/>
    <w:rsid w:val="4B1B446B"/>
    <w:rsid w:val="4B5C51AF"/>
    <w:rsid w:val="4B79502C"/>
    <w:rsid w:val="4B9D30D2"/>
    <w:rsid w:val="4BC1654D"/>
    <w:rsid w:val="4BC6087B"/>
    <w:rsid w:val="4BC863A1"/>
    <w:rsid w:val="4BCB40E3"/>
    <w:rsid w:val="4C653BF0"/>
    <w:rsid w:val="4CE90CC5"/>
    <w:rsid w:val="4CE92A73"/>
    <w:rsid w:val="4CED0E58"/>
    <w:rsid w:val="4D1D096E"/>
    <w:rsid w:val="4D3637DE"/>
    <w:rsid w:val="4D6640C3"/>
    <w:rsid w:val="4D72681D"/>
    <w:rsid w:val="4D743EDE"/>
    <w:rsid w:val="4D786533"/>
    <w:rsid w:val="4D826A23"/>
    <w:rsid w:val="4D9E78F3"/>
    <w:rsid w:val="4DB0533F"/>
    <w:rsid w:val="4DC61F83"/>
    <w:rsid w:val="4DCA2B2F"/>
    <w:rsid w:val="4E213BD3"/>
    <w:rsid w:val="4E2B2C17"/>
    <w:rsid w:val="4E4C150B"/>
    <w:rsid w:val="4E7F2AFD"/>
    <w:rsid w:val="4EBB21ED"/>
    <w:rsid w:val="4EEA2AD2"/>
    <w:rsid w:val="4F0F14A5"/>
    <w:rsid w:val="4F1749C6"/>
    <w:rsid w:val="4F6208BA"/>
    <w:rsid w:val="4FA62E9D"/>
    <w:rsid w:val="4FDA48F5"/>
    <w:rsid w:val="50047BC4"/>
    <w:rsid w:val="5015592D"/>
    <w:rsid w:val="502740AC"/>
    <w:rsid w:val="50505EC7"/>
    <w:rsid w:val="5051105B"/>
    <w:rsid w:val="5069089B"/>
    <w:rsid w:val="508D3A02"/>
    <w:rsid w:val="50A15412"/>
    <w:rsid w:val="50C81701"/>
    <w:rsid w:val="50EF617E"/>
    <w:rsid w:val="51075746"/>
    <w:rsid w:val="51326756"/>
    <w:rsid w:val="51493AE0"/>
    <w:rsid w:val="51695F30"/>
    <w:rsid w:val="5188599D"/>
    <w:rsid w:val="51B11685"/>
    <w:rsid w:val="51C27D36"/>
    <w:rsid w:val="51DA0BDC"/>
    <w:rsid w:val="52036385"/>
    <w:rsid w:val="52462715"/>
    <w:rsid w:val="524D19FA"/>
    <w:rsid w:val="52ED2B91"/>
    <w:rsid w:val="52EF4B5B"/>
    <w:rsid w:val="530F1354"/>
    <w:rsid w:val="530F2B07"/>
    <w:rsid w:val="533D58C6"/>
    <w:rsid w:val="534C5B09"/>
    <w:rsid w:val="53536E98"/>
    <w:rsid w:val="53664E60"/>
    <w:rsid w:val="539179C0"/>
    <w:rsid w:val="54B020C8"/>
    <w:rsid w:val="54EB1B0B"/>
    <w:rsid w:val="550F6DEF"/>
    <w:rsid w:val="554F18E1"/>
    <w:rsid w:val="5579695E"/>
    <w:rsid w:val="55864B84"/>
    <w:rsid w:val="55E262B1"/>
    <w:rsid w:val="55FB150F"/>
    <w:rsid w:val="561F7505"/>
    <w:rsid w:val="56325CFA"/>
    <w:rsid w:val="563F1955"/>
    <w:rsid w:val="56486A5C"/>
    <w:rsid w:val="569A40BE"/>
    <w:rsid w:val="56C105BC"/>
    <w:rsid w:val="56D345D8"/>
    <w:rsid w:val="56DB374A"/>
    <w:rsid w:val="56F269C8"/>
    <w:rsid w:val="572D17AE"/>
    <w:rsid w:val="574A2360"/>
    <w:rsid w:val="574A6804"/>
    <w:rsid w:val="57902061"/>
    <w:rsid w:val="57F329F7"/>
    <w:rsid w:val="5801522C"/>
    <w:rsid w:val="582232DD"/>
    <w:rsid w:val="58276B38"/>
    <w:rsid w:val="58737694"/>
    <w:rsid w:val="58C93758"/>
    <w:rsid w:val="58DC16DE"/>
    <w:rsid w:val="58F00CE5"/>
    <w:rsid w:val="59054CB7"/>
    <w:rsid w:val="592F3F03"/>
    <w:rsid w:val="59561490"/>
    <w:rsid w:val="59AD2EBB"/>
    <w:rsid w:val="5A006153"/>
    <w:rsid w:val="5A025174"/>
    <w:rsid w:val="5AC44FC1"/>
    <w:rsid w:val="5B083358"/>
    <w:rsid w:val="5B130AB9"/>
    <w:rsid w:val="5B615ECA"/>
    <w:rsid w:val="5BCB77E7"/>
    <w:rsid w:val="5BD448EE"/>
    <w:rsid w:val="5C093AD6"/>
    <w:rsid w:val="5C237623"/>
    <w:rsid w:val="5C295FAD"/>
    <w:rsid w:val="5C2F421A"/>
    <w:rsid w:val="5C39144C"/>
    <w:rsid w:val="5C49708A"/>
    <w:rsid w:val="5C714FB1"/>
    <w:rsid w:val="5D1D22C5"/>
    <w:rsid w:val="5D235B2D"/>
    <w:rsid w:val="5D3E547C"/>
    <w:rsid w:val="5D700DD3"/>
    <w:rsid w:val="5D755C5D"/>
    <w:rsid w:val="5D7F0889"/>
    <w:rsid w:val="5DB76275"/>
    <w:rsid w:val="5E2A10B8"/>
    <w:rsid w:val="5F053010"/>
    <w:rsid w:val="5F0E693E"/>
    <w:rsid w:val="5F1C2834"/>
    <w:rsid w:val="5F2711D9"/>
    <w:rsid w:val="5F37766E"/>
    <w:rsid w:val="5F9C1BC7"/>
    <w:rsid w:val="5FAA6092"/>
    <w:rsid w:val="60031C46"/>
    <w:rsid w:val="60301AF4"/>
    <w:rsid w:val="60376493"/>
    <w:rsid w:val="60564844"/>
    <w:rsid w:val="605756F4"/>
    <w:rsid w:val="607355F5"/>
    <w:rsid w:val="60B62814"/>
    <w:rsid w:val="611274A7"/>
    <w:rsid w:val="611413BC"/>
    <w:rsid w:val="6131633F"/>
    <w:rsid w:val="613A02BC"/>
    <w:rsid w:val="615C33BC"/>
    <w:rsid w:val="6171498D"/>
    <w:rsid w:val="619B0C84"/>
    <w:rsid w:val="61CD42B9"/>
    <w:rsid w:val="62031A89"/>
    <w:rsid w:val="62233ED9"/>
    <w:rsid w:val="624502F4"/>
    <w:rsid w:val="627B3D15"/>
    <w:rsid w:val="62E278F0"/>
    <w:rsid w:val="62EC69C1"/>
    <w:rsid w:val="630E2DDB"/>
    <w:rsid w:val="631A352E"/>
    <w:rsid w:val="63400ABB"/>
    <w:rsid w:val="637644DD"/>
    <w:rsid w:val="63A64DC2"/>
    <w:rsid w:val="63AB062A"/>
    <w:rsid w:val="63AC1A9D"/>
    <w:rsid w:val="63D3192F"/>
    <w:rsid w:val="63DF50FF"/>
    <w:rsid w:val="63EB0A27"/>
    <w:rsid w:val="643E4FFA"/>
    <w:rsid w:val="644F3869"/>
    <w:rsid w:val="645A795A"/>
    <w:rsid w:val="6477050C"/>
    <w:rsid w:val="64976501"/>
    <w:rsid w:val="64CB212E"/>
    <w:rsid w:val="64F27115"/>
    <w:rsid w:val="651144BD"/>
    <w:rsid w:val="65323396"/>
    <w:rsid w:val="65440D49"/>
    <w:rsid w:val="655A40B6"/>
    <w:rsid w:val="658A333F"/>
    <w:rsid w:val="65913850"/>
    <w:rsid w:val="65A179F4"/>
    <w:rsid w:val="65A76BCF"/>
    <w:rsid w:val="65AD65DC"/>
    <w:rsid w:val="65D200F0"/>
    <w:rsid w:val="65F52031"/>
    <w:rsid w:val="662D17CA"/>
    <w:rsid w:val="665B6338"/>
    <w:rsid w:val="667E5B82"/>
    <w:rsid w:val="668A4527"/>
    <w:rsid w:val="669C1CEE"/>
    <w:rsid w:val="66A51361"/>
    <w:rsid w:val="66E83943"/>
    <w:rsid w:val="670B08C3"/>
    <w:rsid w:val="67397CFB"/>
    <w:rsid w:val="673E5311"/>
    <w:rsid w:val="67A123CB"/>
    <w:rsid w:val="67F862ED"/>
    <w:rsid w:val="67FB5EB6"/>
    <w:rsid w:val="68010AE0"/>
    <w:rsid w:val="68126ECA"/>
    <w:rsid w:val="68330141"/>
    <w:rsid w:val="687F49D6"/>
    <w:rsid w:val="68A34199"/>
    <w:rsid w:val="68DE4FFE"/>
    <w:rsid w:val="69135A08"/>
    <w:rsid w:val="69140A20"/>
    <w:rsid w:val="6928618E"/>
    <w:rsid w:val="693B5FAC"/>
    <w:rsid w:val="69922EFF"/>
    <w:rsid w:val="699403F0"/>
    <w:rsid w:val="69B01336"/>
    <w:rsid w:val="69CC12FA"/>
    <w:rsid w:val="69D837FB"/>
    <w:rsid w:val="69EE7718"/>
    <w:rsid w:val="69EF02B7"/>
    <w:rsid w:val="69F61ED3"/>
    <w:rsid w:val="6A8E65B0"/>
    <w:rsid w:val="6AB73B1D"/>
    <w:rsid w:val="6B0869DC"/>
    <w:rsid w:val="6B1B6095"/>
    <w:rsid w:val="6B1D005F"/>
    <w:rsid w:val="6B2D5DC9"/>
    <w:rsid w:val="6B2E2D35"/>
    <w:rsid w:val="6B5A4315"/>
    <w:rsid w:val="6BCC55E2"/>
    <w:rsid w:val="6C022DB1"/>
    <w:rsid w:val="6C07661A"/>
    <w:rsid w:val="6C0B435C"/>
    <w:rsid w:val="6C111246"/>
    <w:rsid w:val="6C136D6D"/>
    <w:rsid w:val="6C57134F"/>
    <w:rsid w:val="6C5775A1"/>
    <w:rsid w:val="6C6972D4"/>
    <w:rsid w:val="6C7B7331"/>
    <w:rsid w:val="6CB247D7"/>
    <w:rsid w:val="6CE34991"/>
    <w:rsid w:val="6D147240"/>
    <w:rsid w:val="6D3276C6"/>
    <w:rsid w:val="6D5362F6"/>
    <w:rsid w:val="6D5A13F5"/>
    <w:rsid w:val="6D6A50B2"/>
    <w:rsid w:val="6DD644F6"/>
    <w:rsid w:val="6DEE7A91"/>
    <w:rsid w:val="6E045071"/>
    <w:rsid w:val="6E056B89"/>
    <w:rsid w:val="6E096679"/>
    <w:rsid w:val="6E146DCC"/>
    <w:rsid w:val="6E405E13"/>
    <w:rsid w:val="6E4E22DE"/>
    <w:rsid w:val="6EED1AF7"/>
    <w:rsid w:val="6EFB40C5"/>
    <w:rsid w:val="6F0912E7"/>
    <w:rsid w:val="6F8F403F"/>
    <w:rsid w:val="6FD11419"/>
    <w:rsid w:val="6FE74798"/>
    <w:rsid w:val="701D640C"/>
    <w:rsid w:val="702D2F11"/>
    <w:rsid w:val="704240C4"/>
    <w:rsid w:val="704B11CB"/>
    <w:rsid w:val="7060279C"/>
    <w:rsid w:val="70687184"/>
    <w:rsid w:val="7087197B"/>
    <w:rsid w:val="709C1A26"/>
    <w:rsid w:val="709E7E23"/>
    <w:rsid w:val="70A26911"/>
    <w:rsid w:val="70B34EA5"/>
    <w:rsid w:val="70DC1201"/>
    <w:rsid w:val="70E32B78"/>
    <w:rsid w:val="70E707C8"/>
    <w:rsid w:val="71092AB7"/>
    <w:rsid w:val="715E0A8A"/>
    <w:rsid w:val="716C3313"/>
    <w:rsid w:val="718D136F"/>
    <w:rsid w:val="719179C8"/>
    <w:rsid w:val="71A62431"/>
    <w:rsid w:val="723366C9"/>
    <w:rsid w:val="724A54B2"/>
    <w:rsid w:val="726A16B0"/>
    <w:rsid w:val="728B515C"/>
    <w:rsid w:val="731735E6"/>
    <w:rsid w:val="73C13552"/>
    <w:rsid w:val="73E765D7"/>
    <w:rsid w:val="73F531FC"/>
    <w:rsid w:val="74082F2F"/>
    <w:rsid w:val="742F2BB2"/>
    <w:rsid w:val="748051BB"/>
    <w:rsid w:val="74856C75"/>
    <w:rsid w:val="74BC2C75"/>
    <w:rsid w:val="74C4154C"/>
    <w:rsid w:val="74E925BC"/>
    <w:rsid w:val="753D4E5A"/>
    <w:rsid w:val="75455127"/>
    <w:rsid w:val="755558D6"/>
    <w:rsid w:val="75A629FF"/>
    <w:rsid w:val="75D02172"/>
    <w:rsid w:val="762C55FB"/>
    <w:rsid w:val="763C0048"/>
    <w:rsid w:val="765E6BE4"/>
    <w:rsid w:val="76742AFE"/>
    <w:rsid w:val="769B6282"/>
    <w:rsid w:val="769F6178"/>
    <w:rsid w:val="76B92C17"/>
    <w:rsid w:val="76C21ABB"/>
    <w:rsid w:val="76C91416"/>
    <w:rsid w:val="76DF266D"/>
    <w:rsid w:val="77000835"/>
    <w:rsid w:val="770420D4"/>
    <w:rsid w:val="77104B35"/>
    <w:rsid w:val="771B741D"/>
    <w:rsid w:val="77212C85"/>
    <w:rsid w:val="775748F9"/>
    <w:rsid w:val="777F79AC"/>
    <w:rsid w:val="779C055E"/>
    <w:rsid w:val="77AB254F"/>
    <w:rsid w:val="77EA6925"/>
    <w:rsid w:val="77F43EF6"/>
    <w:rsid w:val="780A371A"/>
    <w:rsid w:val="780F71B0"/>
    <w:rsid w:val="781F40D3"/>
    <w:rsid w:val="78B461F1"/>
    <w:rsid w:val="78F27591"/>
    <w:rsid w:val="79346574"/>
    <w:rsid w:val="79584959"/>
    <w:rsid w:val="796E5F2A"/>
    <w:rsid w:val="79955265"/>
    <w:rsid w:val="79C268F7"/>
    <w:rsid w:val="79C8388C"/>
    <w:rsid w:val="79D97847"/>
    <w:rsid w:val="79DA711C"/>
    <w:rsid w:val="7A475776"/>
    <w:rsid w:val="7A903C7E"/>
    <w:rsid w:val="7A981C2E"/>
    <w:rsid w:val="7A9F7738"/>
    <w:rsid w:val="7AFB559C"/>
    <w:rsid w:val="7B2F3497"/>
    <w:rsid w:val="7B841A35"/>
    <w:rsid w:val="7B932135"/>
    <w:rsid w:val="7BB57E40"/>
    <w:rsid w:val="7BD81771"/>
    <w:rsid w:val="7C02328C"/>
    <w:rsid w:val="7C0B180E"/>
    <w:rsid w:val="7CAD6D69"/>
    <w:rsid w:val="7CB02B6A"/>
    <w:rsid w:val="7CBA4636"/>
    <w:rsid w:val="7CBB3234"/>
    <w:rsid w:val="7CF16C56"/>
    <w:rsid w:val="7CFD1A9F"/>
    <w:rsid w:val="7D030D9A"/>
    <w:rsid w:val="7D5B1C27"/>
    <w:rsid w:val="7D996146"/>
    <w:rsid w:val="7DAF31EC"/>
    <w:rsid w:val="7DF252F0"/>
    <w:rsid w:val="7E00216C"/>
    <w:rsid w:val="7E307C52"/>
    <w:rsid w:val="7E494870"/>
    <w:rsid w:val="7E4B683A"/>
    <w:rsid w:val="7E7F0292"/>
    <w:rsid w:val="7E7F4735"/>
    <w:rsid w:val="7E835FD4"/>
    <w:rsid w:val="7EBE0DBA"/>
    <w:rsid w:val="7EDE76AE"/>
    <w:rsid w:val="7EEC0F67"/>
    <w:rsid w:val="7F0A04A3"/>
    <w:rsid w:val="7F0D6DEB"/>
    <w:rsid w:val="7F3473B7"/>
    <w:rsid w:val="7F4178E5"/>
    <w:rsid w:val="7F7566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lang w:bidi="ar-SA"/>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styleId="9">
    <w:name w:val="Strong"/>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ascii="宋体" w:eastAsia="宋体" w:cs="宋体"/>
      <w:color w:val="000000"/>
      <w:sz w:val="28"/>
      <w:szCs w:val="28"/>
      <w:u w:val="none"/>
      <w:lang w:bidi="ar-SA"/>
    </w:rPr>
  </w:style>
  <w:style w:type="character" w:customStyle="1" w:styleId="13">
    <w:name w:val="font41"/>
    <w:basedOn w:val="8"/>
    <w:qFormat/>
    <w:uiPriority w:val="0"/>
    <w:rPr>
      <w:rFonts w:ascii="Arial" w:hAnsi="Arial" w:cs="Arial"/>
      <w:color w:val="000000"/>
      <w:sz w:val="28"/>
      <w:szCs w:val="28"/>
      <w:u w:val="none"/>
      <w:lang w:bidi="ar-SA"/>
    </w:rPr>
  </w:style>
  <w:style w:type="character" w:customStyle="1" w:styleId="14">
    <w:name w:val="font21"/>
    <w:basedOn w:val="8"/>
    <w:qFormat/>
    <w:uiPriority w:val="0"/>
    <w:rPr>
      <w:rFonts w:ascii="宋体" w:eastAsia="宋体" w:cs="宋体"/>
      <w:color w:val="000000"/>
      <w:sz w:val="28"/>
      <w:szCs w:val="28"/>
      <w:u w:val="none"/>
      <w:lang w:bidi="ar-SA"/>
    </w:rPr>
  </w:style>
  <w:style w:type="character" w:customStyle="1" w:styleId="15">
    <w:name w:val="font11"/>
    <w:basedOn w:val="8"/>
    <w:qFormat/>
    <w:uiPriority w:val="0"/>
    <w:rPr>
      <w:rFonts w:ascii="Times New Roman" w:hAnsi="Times New Roman" w:cs="Times New Roman"/>
      <w:color w:val="000000"/>
      <w:sz w:val="28"/>
      <w:szCs w:val="28"/>
      <w:u w:val="none"/>
      <w:lang w:bidi="ar-SA"/>
    </w:rPr>
  </w:style>
  <w:style w:type="character" w:customStyle="1" w:styleId="16">
    <w:name w:val="font01"/>
    <w:basedOn w:val="8"/>
    <w:qFormat/>
    <w:uiPriority w:val="0"/>
    <w:rPr>
      <w:rFonts w:ascii="宋体" w:eastAsia="宋体" w:cs="宋体"/>
      <w:color w:val="000000"/>
      <w:sz w:val="28"/>
      <w:szCs w:val="28"/>
      <w:u w:val="none"/>
      <w:lang w:bidi="ar-SA"/>
    </w:rPr>
  </w:style>
  <w:style w:type="character" w:customStyle="1" w:styleId="17">
    <w:name w:val="font31"/>
    <w:basedOn w:val="8"/>
    <w:qFormat/>
    <w:uiPriority w:val="0"/>
    <w:rPr>
      <w:rFonts w:ascii="宋体" w:eastAsia="宋体" w:cs="宋体"/>
      <w:color w:val="000000"/>
      <w:sz w:val="28"/>
      <w:szCs w:val="28"/>
      <w:u w:val="none"/>
      <w:lang w:bidi="ar-SA"/>
    </w:rPr>
  </w:style>
  <w:style w:type="character" w:customStyle="1" w:styleId="18">
    <w:name w:val="font61"/>
    <w:basedOn w:val="8"/>
    <w:qFormat/>
    <w:uiPriority w:val="0"/>
    <w:rPr>
      <w:rFonts w:hint="eastAsia" w:ascii="方正仿宋_GBK" w:hAnsi="方正仿宋_GBK" w:eastAsia="方正仿宋_GBK" w:cs="方正仿宋_GBK"/>
      <w:color w:val="FF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7116</Words>
  <Characters>7245</Characters>
  <Lines>0</Lines>
  <Paragraphs>112</Paragraphs>
  <TotalTime>4</TotalTime>
  <ScaleCrop>false</ScaleCrop>
  <LinksUpToDate>false</LinksUpToDate>
  <CharactersWithSpaces>7300</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2021-11-08T07:22:00Z</dcterms:created>
  <dc:creator>20200415</dc:creator>
  <cp:lastModifiedBy>YOHO</cp:lastModifiedBy>
  <cp:lastPrinted>2022-04-11T02:12:00Z</cp:lastPrinted>
  <dcterms:modified xsi:type="dcterms:W3CDTF">2022-04-15T01:53:28Z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6B704CAEBC2A4E5AA61CEE84F933DE5D</vt:lpwstr>
  </property>
</Properties>
</file>