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rPr>
          <w:rFonts w:ascii="Times New Roman" w:hAnsi="Times New Roman" w:eastAsia="宋体" w:cs="Times New Roman"/>
          <w:sz w:val="84"/>
          <w:szCs w:val="84"/>
        </w:rPr>
      </w:pPr>
      <w:r>
        <w:rPr>
          <w:rFonts w:ascii="Times New Roman" w:hAnsi="Times New Roman" w:eastAsia="宋体" w:cs="Times New Roman"/>
          <w:position w:val="16"/>
          <w:sz w:val="24"/>
          <w:szCs w:val="24"/>
        </w:rPr>
        <w:t>住房和城乡建设部备案号：J×××××-20**</w:t>
      </w:r>
      <w:r>
        <w:rPr>
          <w:rFonts w:ascii="Times New Roman" w:hAnsi="Times New Roman" w:eastAsia="宋体" w:cs="Times New Roman"/>
          <w:szCs w:val="24"/>
        </w:rPr>
        <w:t xml:space="preserve">                          </w:t>
      </w:r>
      <w:r>
        <w:rPr>
          <w:rFonts w:ascii="Times New Roman" w:hAnsi="Times New Roman" w:eastAsia="宋体" w:cs="Times New Roman"/>
          <w:b/>
          <w:sz w:val="84"/>
          <w:szCs w:val="84"/>
        </w:rPr>
        <w:t>DB</w:t>
      </w:r>
    </w:p>
    <w:p>
      <w:pPr>
        <w:adjustRightInd w:val="0"/>
        <w:snapToGrid w:val="0"/>
        <w:spacing w:line="360" w:lineRule="auto"/>
        <w:jc w:val="center"/>
        <w:rPr>
          <w:rFonts w:ascii="Times New Roman" w:hAnsi="宋体" w:eastAsia="宋体" w:cs="Times New Roman"/>
          <w:b/>
          <w:sz w:val="28"/>
          <w:szCs w:val="28"/>
        </w:rPr>
      </w:pPr>
    </w:p>
    <w:p>
      <w:pPr>
        <w:adjustRightInd w:val="0"/>
        <w:snapToGrid w:val="0"/>
        <w:spacing w:line="360" w:lineRule="auto"/>
        <w:jc w:val="center"/>
        <w:rPr>
          <w:rFonts w:ascii="Times New Roman" w:hAnsi="宋体" w:eastAsia="宋体" w:cs="Times New Roman"/>
          <w:b/>
          <w:sz w:val="28"/>
          <w:szCs w:val="28"/>
        </w:rPr>
      </w:pPr>
      <w:r>
        <w:rPr>
          <w:rFonts w:ascii="Times New Roman" w:hAnsi="宋体" w:eastAsia="宋体" w:cs="Times New Roman"/>
          <w:b/>
          <w:sz w:val="28"/>
          <w:szCs w:val="28"/>
        </w:rPr>
        <w:t>重庆市工程建设标准</w:t>
      </w:r>
    </w:p>
    <w:p>
      <w:pPr>
        <w:adjustRightInd w:val="0"/>
        <w:snapToGrid w:val="0"/>
        <w:spacing w:line="360" w:lineRule="auto"/>
        <w:jc w:val="center"/>
        <w:rPr>
          <w:rFonts w:ascii="Times New Roman" w:hAnsi="宋体" w:eastAsia="宋体" w:cs="Times New Roman"/>
          <w:b/>
          <w:sz w:val="28"/>
          <w:szCs w:val="28"/>
        </w:rPr>
      </w:pPr>
    </w:p>
    <w:p>
      <w:pPr>
        <w:adjustRightInd w:val="0"/>
        <w:snapToGrid w:val="0"/>
        <w:ind w:right="60"/>
        <w:jc w:val="right"/>
        <w:rPr>
          <w:rFonts w:ascii="Times New Roman" w:hAnsi="Times New Roman" w:eastAsia="宋体" w:cs="Times New Roman"/>
          <w:b/>
          <w:bCs w:val="0"/>
          <w:sz w:val="24"/>
          <w:szCs w:val="24"/>
        </w:rPr>
      </w:pPr>
      <w:r>
        <w:rPr>
          <w:rFonts w:ascii="Times New Roman" w:hAnsi="Times New Roman" w:eastAsia="宋体" w:cs="Times New Roman"/>
          <w:b/>
          <w:bCs w:val="0"/>
          <w:sz w:val="24"/>
          <w:szCs w:val="24"/>
        </w:rPr>
        <w:t>DBJ</w:t>
      </w:r>
      <w:r>
        <w:rPr>
          <w:rFonts w:hint="eastAsia" w:ascii="Times New Roman" w:hAnsi="Times New Roman" w:eastAsia="宋体" w:cs="Times New Roman"/>
          <w:b/>
          <w:bCs w:val="0"/>
          <w:sz w:val="24"/>
          <w:szCs w:val="24"/>
        </w:rPr>
        <w:t>50/T-</w:t>
      </w:r>
      <w:r>
        <w:rPr>
          <w:rFonts w:ascii="Times New Roman" w:hAnsi="Times New Roman" w:eastAsia="宋体" w:cs="Times New Roman"/>
          <w:b/>
          <w:bCs w:val="0"/>
          <w:sz w:val="24"/>
          <w:szCs w:val="24"/>
        </w:rPr>
        <w:t>×××-20**</w:t>
      </w:r>
    </w:p>
    <w:p>
      <w:pPr>
        <w:adjustRightInd w:val="0"/>
        <w:snapToGrid w:val="0"/>
        <w:spacing w:line="240" w:lineRule="exact"/>
        <w:rPr>
          <w:rFonts w:ascii="Times New Roman" w:hAnsi="Times New Roman" w:eastAsia="宋体" w:cs="Times New Roman"/>
          <w:b/>
          <w:bCs w:val="0"/>
          <w:sz w:val="24"/>
          <w:szCs w:val="24"/>
          <w:u w:val="single"/>
        </w:rPr>
      </w:pPr>
      <w:r>
        <w:rPr>
          <w:rFonts w:ascii="Times New Roman" w:hAnsi="Times New Roman" w:eastAsia="宋体" w:cs="Times New Roman"/>
          <w:b/>
          <w:bCs w:val="0"/>
          <w:sz w:val="24"/>
          <w:szCs w:val="24"/>
          <w:u w:val="single"/>
        </w:rPr>
        <w:t xml:space="preserve">                                                                      </w:t>
      </w:r>
    </w:p>
    <w:p>
      <w:pPr>
        <w:keepNext/>
        <w:adjustRightInd w:val="0"/>
        <w:snapToGrid w:val="0"/>
        <w:spacing w:line="360" w:lineRule="auto"/>
        <w:jc w:val="both"/>
        <w:outlineLvl w:val="0"/>
        <w:rPr>
          <w:rFonts w:ascii="Times New Roman" w:hAnsi="Times New Roman" w:eastAsia="宋体" w:cs="Times New Roman"/>
          <w:b/>
          <w:sz w:val="32"/>
          <w:szCs w:val="32"/>
        </w:rPr>
      </w:pPr>
      <w:bookmarkStart w:id="0" w:name="_Toc382552260"/>
      <w:bookmarkStart w:id="1" w:name="_Toc377130014"/>
      <w:bookmarkStart w:id="2" w:name="_Toc378500090"/>
      <w:bookmarkStart w:id="3" w:name="_Toc377482804"/>
      <w:bookmarkStart w:id="4" w:name="_Toc377975845"/>
      <w:bookmarkStart w:id="5" w:name="_Toc378500100"/>
    </w:p>
    <w:bookmarkEnd w:id="0"/>
    <w:bookmarkEnd w:id="1"/>
    <w:bookmarkEnd w:id="2"/>
    <w:bookmarkEnd w:id="3"/>
    <w:bookmarkEnd w:id="4"/>
    <w:bookmarkEnd w:id="5"/>
    <w:p>
      <w:pPr>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建筑施工现场常见职业病危害防控技术标准</w:t>
      </w:r>
    </w:p>
    <w:p>
      <w:pPr>
        <w:adjustRightInd w:val="0"/>
        <w:snapToGrid w:val="0"/>
        <w:spacing w:line="360" w:lineRule="auto"/>
        <w:ind w:right="60"/>
        <w:jc w:val="center"/>
        <w:rPr>
          <w:rFonts w:ascii="Times New Roman" w:hAnsi="Times New Roman" w:eastAsia="宋体" w:cs="Times New Roman"/>
          <w:b/>
          <w:sz w:val="28"/>
          <w:szCs w:val="28"/>
        </w:rPr>
      </w:pPr>
      <w:bookmarkStart w:id="6" w:name="_Hlk101472256"/>
      <w:r>
        <w:rPr>
          <w:rFonts w:ascii="Times New Roman" w:hAnsi="Times New Roman" w:eastAsia="宋体" w:cs="Times New Roman"/>
          <w:b/>
          <w:sz w:val="28"/>
          <w:szCs w:val="28"/>
        </w:rPr>
        <w:t>Technical standards for the prevention and control of common occupational hazards at construction sites</w:t>
      </w:r>
    </w:p>
    <w:bookmarkEnd w:id="6"/>
    <w:p>
      <w:pPr>
        <w:adjustRightInd w:val="0"/>
        <w:snapToGrid w:val="0"/>
        <w:spacing w:line="360" w:lineRule="auto"/>
        <w:jc w:val="center"/>
        <w:rPr>
          <w:rFonts w:ascii="Times New Roman" w:hAnsi="Times New Roman" w:eastAsia="宋体" w:cs="Times New Roman"/>
          <w:b/>
          <w:sz w:val="28"/>
          <w:szCs w:val="28"/>
        </w:rPr>
      </w:pPr>
      <w:r>
        <w:rPr>
          <w:rFonts w:ascii="Times New Roman" w:hAnsi="宋体" w:eastAsia="宋体" w:cs="Times New Roman"/>
          <w:b/>
          <w:sz w:val="28"/>
          <w:szCs w:val="28"/>
        </w:rPr>
        <w:t>（</w:t>
      </w:r>
      <w:r>
        <w:rPr>
          <w:rFonts w:hint="eastAsia" w:ascii="Times New Roman" w:hAnsi="Times New Roman" w:eastAsia="宋体" w:cs="Times New Roman"/>
          <w:b/>
          <w:sz w:val="28"/>
          <w:szCs w:val="28"/>
        </w:rPr>
        <w:t>征求意见</w:t>
      </w:r>
      <w:r>
        <w:rPr>
          <w:rFonts w:ascii="Times New Roman" w:hAnsi="宋体" w:eastAsia="宋体" w:cs="Times New Roman"/>
          <w:b/>
          <w:sz w:val="28"/>
          <w:szCs w:val="28"/>
        </w:rPr>
        <w:t>稿）</w:t>
      </w: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rPr>
          <w:rFonts w:ascii="Times New Roman" w:hAnsi="Times New Roman" w:eastAsia="宋体" w:cs="Times New Roman"/>
          <w:sz w:val="24"/>
          <w:szCs w:val="24"/>
        </w:rPr>
      </w:pPr>
    </w:p>
    <w:p>
      <w:pPr>
        <w:adjustRightInd w:val="0"/>
        <w:snapToGrid w:val="0"/>
        <w:spacing w:line="360" w:lineRule="auto"/>
        <w:jc w:val="left"/>
        <w:rPr>
          <w:rFonts w:ascii="Times New Roman" w:hAnsi="Times New Roman" w:eastAsia="宋体" w:cs="Times New Roman"/>
          <w:b/>
          <w:bCs w:val="0"/>
          <w:sz w:val="24"/>
          <w:szCs w:val="24"/>
        </w:rPr>
      </w:pPr>
      <w:r>
        <w:rPr>
          <w:rFonts w:ascii="Times New Roman" w:hAnsi="Times New Roman" w:eastAsia="宋体" w:cs="Times New Roman"/>
          <w:b/>
          <w:bCs w:val="0"/>
          <w:sz w:val="24"/>
          <w:szCs w:val="24"/>
        </w:rPr>
        <w:t>20**-**-</w:t>
      </w:r>
      <w:r>
        <w:rPr>
          <w:rFonts w:ascii="Times New Roman" w:hAnsi="宋体" w:eastAsia="宋体" w:cs="Times New Roman"/>
          <w:b/>
          <w:bCs w:val="0"/>
          <w:sz w:val="24"/>
          <w:szCs w:val="24"/>
        </w:rPr>
        <w:t>发布</w:t>
      </w:r>
      <w:r>
        <w:rPr>
          <w:rFonts w:ascii="Times New Roman" w:hAnsi="Times New Roman" w:eastAsia="宋体" w:cs="Times New Roman"/>
          <w:b/>
          <w:bCs w:val="0"/>
          <w:sz w:val="24"/>
          <w:szCs w:val="24"/>
        </w:rPr>
        <w:t xml:space="preserve">                                          20**-**-**</w:t>
      </w:r>
      <w:r>
        <w:rPr>
          <w:rFonts w:ascii="Times New Roman" w:hAnsi="宋体" w:eastAsia="宋体" w:cs="Times New Roman"/>
          <w:b/>
          <w:bCs w:val="0"/>
          <w:sz w:val="24"/>
          <w:szCs w:val="24"/>
        </w:rPr>
        <w:t>实施</w:t>
      </w:r>
      <w:r>
        <w:rPr>
          <w:rFonts w:ascii="Times New Roman" w:hAnsi="Times New Roman" w:eastAsia="宋体" w:cs="Times New Roman"/>
          <w:b/>
          <w:bCs w:val="0"/>
          <w:sz w:val="24"/>
          <w:szCs w:val="24"/>
        </w:rPr>
        <w:t xml:space="preserve">  </w:t>
      </w:r>
    </w:p>
    <w:p>
      <w:pPr>
        <w:adjustRightInd w:val="0"/>
        <w:snapToGrid w:val="0"/>
        <w:spacing w:line="360" w:lineRule="auto"/>
        <w:rPr>
          <w:rFonts w:ascii="Times New Roman" w:hAnsi="Times New Roman" w:eastAsia="宋体" w:cs="Times New Roman"/>
          <w:b/>
          <w:bCs w:val="0"/>
          <w:sz w:val="24"/>
          <w:szCs w:val="24"/>
          <w:u w:val="single"/>
        </w:rPr>
      </w:pPr>
      <w:r>
        <w:rPr>
          <w:rFonts w:ascii="Times New Roman" w:hAnsi="Times New Roman" w:eastAsia="宋体" w:cs="Times New Roman"/>
          <w:b/>
          <w:bCs w:val="0"/>
          <w:sz w:val="24"/>
          <w:szCs w:val="24"/>
          <w:u w:val="single"/>
        </w:rPr>
        <w:t xml:space="preserve">                                                                         </w:t>
      </w:r>
    </w:p>
    <w:p>
      <w:pPr>
        <w:adjustRightInd w:val="0"/>
        <w:snapToGrid w:val="0"/>
        <w:spacing w:line="360" w:lineRule="auto"/>
        <w:ind w:firstLine="2891" w:firstLineChars="1200"/>
        <w:rPr>
          <w:rFonts w:ascii="Times New Roman" w:hAnsi="Times New Roman" w:eastAsia="宋体" w:cs="Times New Roman"/>
          <w:b/>
          <w:bCs w:val="0"/>
          <w:sz w:val="24"/>
          <w:szCs w:val="24"/>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r>
        <w:rPr>
          <w:rFonts w:ascii="Times New Roman" w:hAnsi="宋体" w:eastAsia="宋体" w:cs="Times New Roman"/>
          <w:b/>
          <w:bCs w:val="0"/>
          <w:sz w:val="24"/>
          <w:szCs w:val="24"/>
        </w:rPr>
        <w:t>重庆市住房和城乡建设委员会</w:t>
      </w:r>
      <w:r>
        <w:rPr>
          <w:rFonts w:ascii="Times New Roman" w:hAnsi="Times New Roman" w:eastAsia="宋体" w:cs="Times New Roman"/>
          <w:b/>
          <w:bCs w:val="0"/>
          <w:sz w:val="24"/>
          <w:szCs w:val="24"/>
        </w:rPr>
        <w:t xml:space="preserve">  </w:t>
      </w:r>
      <w:r>
        <w:rPr>
          <w:rFonts w:ascii="Times New Roman" w:hAnsi="宋体" w:eastAsia="宋体" w:cs="Times New Roman"/>
          <w:b/>
          <w:bCs w:val="0"/>
          <w:sz w:val="24"/>
          <w:szCs w:val="24"/>
        </w:rPr>
        <w:t>发布</w:t>
      </w:r>
    </w:p>
    <w:p>
      <w:pPr>
        <w:spacing w:line="360" w:lineRule="auto"/>
        <w:jc w:val="center"/>
        <w:rPr>
          <w:rFonts w:ascii="Times New Roman" w:hAnsi="Times New Roman" w:eastAsia="宋体" w:cs="Times New Roman"/>
          <w:b/>
          <w:color w:val="000000"/>
          <w:szCs w:val="28"/>
        </w:rPr>
      </w:pPr>
    </w:p>
    <w:p>
      <w:pPr>
        <w:spacing w:line="360" w:lineRule="auto"/>
        <w:jc w:val="center"/>
        <w:rPr>
          <w:rFonts w:ascii="Times New Roman" w:hAnsi="Times New Roman" w:eastAsia="宋体" w:cs="Times New Roman"/>
          <w:b/>
          <w:color w:val="000000"/>
          <w:szCs w:val="28"/>
        </w:rPr>
      </w:pPr>
    </w:p>
    <w:p>
      <w:pPr>
        <w:spacing w:line="360" w:lineRule="auto"/>
        <w:jc w:val="center"/>
        <w:rPr>
          <w:rFonts w:ascii="Times New Roman" w:hAnsi="Times New Roman" w:eastAsia="宋体" w:cs="Times New Roman"/>
          <w:b/>
          <w:color w:val="000000"/>
          <w:szCs w:val="28"/>
        </w:rPr>
      </w:pPr>
    </w:p>
    <w:p>
      <w:pPr>
        <w:spacing w:line="360" w:lineRule="auto"/>
        <w:jc w:val="center"/>
        <w:rPr>
          <w:rFonts w:ascii="Times New Roman" w:hAnsi="Times New Roman" w:eastAsia="黑体" w:cs="Times New Roman"/>
          <w:b/>
          <w:color w:val="000000"/>
          <w:sz w:val="28"/>
          <w:szCs w:val="32"/>
        </w:rPr>
      </w:pPr>
      <w:r>
        <w:rPr>
          <w:rFonts w:ascii="Times New Roman" w:hAnsi="Times New Roman" w:eastAsia="黑体" w:cs="Times New Roman"/>
          <w:b/>
          <w:color w:val="000000"/>
          <w:sz w:val="28"/>
          <w:szCs w:val="32"/>
        </w:rPr>
        <w:t>重庆市工程建设标准</w:t>
      </w:r>
    </w:p>
    <w:p>
      <w:pPr>
        <w:spacing w:line="360" w:lineRule="auto"/>
        <w:jc w:val="center"/>
        <w:rPr>
          <w:rFonts w:ascii="Times New Roman" w:hAnsi="Times New Roman" w:eastAsia="宋体" w:cs="Times New Roman"/>
          <w:b/>
          <w:color w:val="000000"/>
          <w:sz w:val="44"/>
          <w:szCs w:val="44"/>
        </w:rPr>
      </w:pPr>
    </w:p>
    <w:p>
      <w:pPr>
        <w:spacing w:line="360" w:lineRule="auto"/>
        <w:jc w:val="center"/>
        <w:rPr>
          <w:rFonts w:ascii="Times New Roman" w:hAnsi="Times New Roman" w:eastAsia="宋体" w:cs="Times New Roman"/>
          <w:b/>
          <w:color w:val="000000"/>
          <w:sz w:val="44"/>
          <w:szCs w:val="44"/>
        </w:rPr>
      </w:pPr>
    </w:p>
    <w:p>
      <w:pPr>
        <w:spacing w:line="360" w:lineRule="auto"/>
        <w:jc w:val="center"/>
        <w:rPr>
          <w:rFonts w:ascii="Times New Roman" w:hAnsi="Times New Roman" w:eastAsia="宋体" w:cs="Times New Roman"/>
          <w:b/>
          <w:color w:val="000000"/>
          <w:sz w:val="44"/>
          <w:szCs w:val="44"/>
        </w:rPr>
      </w:pPr>
      <w:r>
        <w:rPr>
          <w:rFonts w:hint="eastAsia" w:ascii="Times New Roman" w:hAnsi="Times New Roman" w:eastAsia="宋体" w:cs="Times New Roman"/>
          <w:b/>
          <w:color w:val="000000"/>
          <w:sz w:val="44"/>
          <w:szCs w:val="44"/>
        </w:rPr>
        <w:t>建筑施工现场常见职业病危害防控</w:t>
      </w:r>
    </w:p>
    <w:p>
      <w:pPr>
        <w:spacing w:line="360" w:lineRule="auto"/>
        <w:jc w:val="center"/>
        <w:rPr>
          <w:rFonts w:hint="eastAsia" w:ascii="Times New Roman" w:hAnsi="Times New Roman" w:eastAsia="宋体" w:cs="Times New Roman"/>
          <w:b/>
          <w:color w:val="000000"/>
          <w:sz w:val="44"/>
          <w:szCs w:val="44"/>
        </w:rPr>
      </w:pPr>
      <w:r>
        <w:rPr>
          <w:rFonts w:hint="eastAsia" w:ascii="Times New Roman" w:hAnsi="Times New Roman" w:eastAsia="宋体" w:cs="Times New Roman"/>
          <w:b/>
          <w:color w:val="000000"/>
          <w:sz w:val="44"/>
          <w:szCs w:val="44"/>
        </w:rPr>
        <w:t>技术标准</w:t>
      </w:r>
    </w:p>
    <w:p>
      <w:pPr>
        <w:spacing w:line="360" w:lineRule="auto"/>
        <w:jc w:val="center"/>
        <w:rPr>
          <w:rFonts w:ascii="Times New Roman" w:hAnsi="Times New Roman" w:eastAsia="宋体" w:cs="Times New Roman"/>
          <w:b/>
          <w:color w:val="000000"/>
          <w:sz w:val="28"/>
          <w:szCs w:val="28"/>
        </w:rPr>
      </w:pPr>
      <w:r>
        <w:rPr>
          <w:rFonts w:ascii="Times New Roman" w:hAnsi="Times New Roman" w:eastAsia="宋体" w:cs="Times New Roman"/>
          <w:b/>
          <w:color w:val="000000"/>
          <w:sz w:val="28"/>
          <w:szCs w:val="28"/>
        </w:rPr>
        <w:t>Technical standards for the prevention and control of common occupational hazards at construction sites</w:t>
      </w:r>
    </w:p>
    <w:p>
      <w:pPr>
        <w:spacing w:line="360" w:lineRule="auto"/>
        <w:jc w:val="both"/>
        <w:rPr>
          <w:rFonts w:hint="eastAsia" w:ascii="Times New Roman" w:hAnsi="Times New Roman" w:eastAsia="宋体" w:cs="Times New Roman"/>
          <w:b/>
          <w:color w:val="000000"/>
          <w:sz w:val="44"/>
          <w:szCs w:val="44"/>
        </w:rPr>
      </w:pPr>
    </w:p>
    <w:p>
      <w:pPr>
        <w:spacing w:line="360" w:lineRule="auto"/>
        <w:jc w:val="center"/>
        <w:rPr>
          <w:rFonts w:ascii="Times New Roman" w:hAnsi="Times New Roman" w:eastAsia="宋体" w:cs="Times New Roman"/>
          <w:color w:val="000000"/>
          <w:szCs w:val="28"/>
        </w:rPr>
      </w:pPr>
      <w:r>
        <w:rPr>
          <w:rFonts w:ascii="Times New Roman" w:hAnsi="Times New Roman" w:eastAsia="黑体" w:cs="Times New Roman"/>
          <w:b/>
          <w:color w:val="000000"/>
          <w:sz w:val="28"/>
          <w:szCs w:val="28"/>
        </w:rPr>
        <w:t>DBJ50</w:t>
      </w:r>
      <w:r>
        <w:rPr>
          <w:rFonts w:hint="eastAsia" w:ascii="Times New Roman" w:hAnsi="Times New Roman" w:eastAsia="黑体" w:cs="Times New Roman"/>
          <w:b/>
          <w:color w:val="000000"/>
          <w:sz w:val="28"/>
          <w:szCs w:val="28"/>
        </w:rPr>
        <w:t>/T</w:t>
      </w:r>
      <w:r>
        <w:rPr>
          <w:rFonts w:ascii="Times New Roman" w:hAnsi="Times New Roman" w:eastAsia="黑体" w:cs="Times New Roman"/>
          <w:b/>
          <w:color w:val="000000"/>
          <w:sz w:val="28"/>
          <w:szCs w:val="28"/>
        </w:rPr>
        <w:t>-xxx-20</w:t>
      </w:r>
      <w:r>
        <w:rPr>
          <w:rFonts w:ascii="Times New Roman" w:hAnsi="Times New Roman" w:eastAsia="宋体" w:cs="Times New Roman"/>
          <w:color w:val="000000"/>
          <w:szCs w:val="28"/>
        </w:rPr>
        <w:t>XX</w:t>
      </w:r>
    </w:p>
    <w:p>
      <w:pPr>
        <w:spacing w:line="360" w:lineRule="auto"/>
        <w:jc w:val="center"/>
        <w:rPr>
          <w:rFonts w:ascii="Times New Roman" w:hAnsi="Times New Roman" w:eastAsia="宋体" w:cs="Times New Roman"/>
          <w:color w:val="000000"/>
          <w:szCs w:val="28"/>
        </w:rPr>
      </w:pPr>
    </w:p>
    <w:p>
      <w:pPr>
        <w:spacing w:line="360" w:lineRule="auto"/>
        <w:jc w:val="both"/>
        <w:rPr>
          <w:rFonts w:ascii="Times New Roman" w:hAnsi="Times New Roman" w:eastAsia="宋体" w:cs="Times New Roman"/>
          <w:b/>
          <w:color w:val="000000"/>
          <w:sz w:val="32"/>
          <w:szCs w:val="32"/>
        </w:rPr>
      </w:pPr>
    </w:p>
    <w:p>
      <w:pPr>
        <w:spacing w:line="360" w:lineRule="auto"/>
        <w:jc w:val="both"/>
        <w:rPr>
          <w:rFonts w:ascii="Times New Roman" w:hAnsi="Times New Roman" w:eastAsia="宋体" w:cs="Times New Roman"/>
          <w:b/>
          <w:color w:val="000000"/>
          <w:sz w:val="32"/>
          <w:szCs w:val="32"/>
        </w:rPr>
      </w:pPr>
    </w:p>
    <w:p>
      <w:pPr>
        <w:spacing w:line="360" w:lineRule="auto"/>
        <w:jc w:val="both"/>
        <w:rPr>
          <w:rFonts w:ascii="Times New Roman" w:hAnsi="Times New Roman" w:eastAsia="宋体" w:cs="Times New Roman"/>
          <w:b/>
          <w:color w:val="000000"/>
          <w:sz w:val="32"/>
          <w:szCs w:val="32"/>
        </w:rPr>
      </w:pPr>
    </w:p>
    <w:p>
      <w:pPr>
        <w:spacing w:line="360" w:lineRule="auto"/>
        <w:jc w:val="both"/>
        <w:rPr>
          <w:rFonts w:ascii="Times New Roman" w:hAnsi="Times New Roman" w:eastAsia="宋体" w:cs="Times New Roman"/>
          <w:b/>
          <w:color w:val="000000"/>
          <w:sz w:val="32"/>
          <w:szCs w:val="32"/>
        </w:rPr>
      </w:pPr>
    </w:p>
    <w:p>
      <w:pPr>
        <w:spacing w:line="360" w:lineRule="auto"/>
        <w:rPr>
          <w:rFonts w:hint="eastAsia" w:ascii="Times New Roman" w:hAnsi="Times New Roman" w:eastAsia="宋体" w:cs="Times New Roman"/>
          <w:color w:val="000000"/>
          <w:szCs w:val="28"/>
        </w:rPr>
      </w:pPr>
      <w:r>
        <w:rPr>
          <w:rFonts w:ascii="Times New Roman" w:hAnsi="Times New Roman" w:eastAsia="宋体" w:cs="Times New Roman"/>
          <w:color w:val="000000"/>
          <w:szCs w:val="28"/>
        </w:rPr>
        <w:t xml:space="preserve">                       主编单位：</w:t>
      </w:r>
      <w:r>
        <w:rPr>
          <w:rFonts w:hint="eastAsia" w:ascii="Times New Roman" w:hAnsi="Times New Roman" w:eastAsia="宋体" w:cs="Times New Roman"/>
          <w:color w:val="000000"/>
          <w:szCs w:val="28"/>
        </w:rPr>
        <w:t>重庆建工第四建设有限责任公司</w:t>
      </w:r>
    </w:p>
    <w:p>
      <w:pPr>
        <w:spacing w:line="360" w:lineRule="auto"/>
        <w:rPr>
          <w:rFonts w:hint="default" w:ascii="Times New Roman" w:hAnsi="Times New Roman" w:eastAsia="宋体" w:cs="Times New Roman"/>
          <w:color w:val="000000"/>
          <w:szCs w:val="28"/>
          <w:lang w:val="en-US" w:eastAsia="zh-CN"/>
        </w:rPr>
      </w:pPr>
      <w:r>
        <w:rPr>
          <w:rFonts w:hint="eastAsia" w:ascii="Times New Roman" w:hAnsi="Times New Roman" w:eastAsia="宋体" w:cs="Times New Roman"/>
          <w:color w:val="000000"/>
          <w:szCs w:val="28"/>
          <w:lang w:val="en-US" w:eastAsia="zh-CN"/>
        </w:rPr>
        <w:t xml:space="preserve">                                 重庆市建设工程施工安全管理总站</w:t>
      </w:r>
    </w:p>
    <w:p>
      <w:pPr>
        <w:spacing w:line="360" w:lineRule="auto"/>
        <w:rPr>
          <w:rFonts w:ascii="Times New Roman" w:hAnsi="Times New Roman" w:eastAsia="宋体" w:cs="Times New Roman"/>
          <w:color w:val="000000"/>
          <w:szCs w:val="28"/>
        </w:rPr>
      </w:pPr>
      <w:r>
        <w:rPr>
          <w:rFonts w:ascii="Times New Roman" w:hAnsi="Times New Roman" w:eastAsia="宋体" w:cs="Times New Roman"/>
          <w:color w:val="000000"/>
          <w:szCs w:val="28"/>
        </w:rPr>
        <w:t xml:space="preserve">                       批准部门：重庆市住房和城乡建设委员会  </w:t>
      </w:r>
    </w:p>
    <w:p>
      <w:pPr>
        <w:adjustRightInd w:val="0"/>
        <w:snapToGrid w:val="0"/>
        <w:spacing w:line="360" w:lineRule="auto"/>
        <w:rPr>
          <w:rFonts w:ascii="Times New Roman" w:hAnsi="Times New Roman" w:eastAsia="宋体" w:cs="Times New Roman"/>
          <w:color w:val="000000"/>
          <w:szCs w:val="28"/>
        </w:rPr>
      </w:pPr>
      <w:r>
        <w:rPr>
          <w:rFonts w:ascii="Times New Roman" w:hAnsi="Times New Roman" w:eastAsia="宋体" w:cs="Times New Roman"/>
          <w:color w:val="000000"/>
          <w:szCs w:val="28"/>
        </w:rPr>
        <w:t xml:space="preserve">                       施行日期：20XX年</w:t>
      </w:r>
      <w:r>
        <w:rPr>
          <w:rFonts w:hint="eastAsia" w:ascii="Times New Roman" w:hAnsi="Times New Roman" w:eastAsia="宋体" w:cs="Times New Roman"/>
          <w:color w:val="000000"/>
          <w:szCs w:val="28"/>
        </w:rPr>
        <w:t>XX</w:t>
      </w:r>
      <w:r>
        <w:rPr>
          <w:rFonts w:ascii="Times New Roman" w:hAnsi="Times New Roman" w:eastAsia="宋体" w:cs="Times New Roman"/>
          <w:color w:val="000000"/>
          <w:szCs w:val="28"/>
        </w:rPr>
        <w:t>月</w:t>
      </w:r>
      <w:r>
        <w:rPr>
          <w:rFonts w:hint="eastAsia" w:ascii="Times New Roman" w:hAnsi="Times New Roman" w:eastAsia="宋体" w:cs="Times New Roman"/>
          <w:color w:val="000000"/>
          <w:szCs w:val="28"/>
        </w:rPr>
        <w:t>XX</w:t>
      </w:r>
      <w:r>
        <w:rPr>
          <w:rFonts w:ascii="Times New Roman" w:hAnsi="Times New Roman" w:eastAsia="宋体" w:cs="Times New Roman"/>
          <w:color w:val="000000"/>
          <w:szCs w:val="28"/>
        </w:rPr>
        <w:t xml:space="preserve">日    </w:t>
      </w:r>
    </w:p>
    <w:p>
      <w:pPr>
        <w:adjustRightInd w:val="0"/>
        <w:snapToGrid w:val="0"/>
        <w:spacing w:line="360" w:lineRule="auto"/>
        <w:rPr>
          <w:rFonts w:ascii="Times New Roman" w:hAnsi="Times New Roman" w:eastAsia="宋体" w:cs="Times New Roman"/>
          <w:color w:val="000000"/>
          <w:szCs w:val="28"/>
        </w:rPr>
      </w:pPr>
    </w:p>
    <w:p>
      <w:pPr>
        <w:spacing w:line="360" w:lineRule="auto"/>
        <w:jc w:val="center"/>
        <w:rPr>
          <w:rFonts w:ascii="Times New Roman" w:hAnsi="Times New Roman" w:eastAsia="宋体" w:cs="Times New Roman"/>
          <w:b/>
          <w:sz w:val="24"/>
          <w:szCs w:val="24"/>
        </w:rPr>
        <w:sectPr>
          <w:pgSz w:w="11906" w:h="16838"/>
          <w:pgMar w:top="1440" w:right="1800" w:bottom="1440" w:left="1800" w:header="851" w:footer="992" w:gutter="0"/>
          <w:pgBorders>
            <w:top w:val="none" w:sz="0" w:space="0"/>
            <w:left w:val="none" w:sz="0" w:space="0"/>
            <w:bottom w:val="none" w:sz="0" w:space="0"/>
            <w:right w:val="none" w:sz="0" w:space="0"/>
          </w:pgBorders>
          <w:pgNumType w:start="1"/>
          <w:cols w:space="720" w:num="1"/>
          <w:docGrid w:type="lines" w:linePitch="312" w:charSpace="0"/>
        </w:sectPr>
      </w:pPr>
    </w:p>
    <w:p>
      <w:pPr>
        <w:spacing w:line="360" w:lineRule="auto"/>
        <w:jc w:val="center"/>
        <w:rPr>
          <w:rFonts w:ascii="Times New Roman" w:hAnsi="Times New Roman" w:eastAsia="宋体" w:cs="Times New Roman"/>
          <w:b/>
          <w:sz w:val="28"/>
          <w:szCs w:val="28"/>
        </w:rPr>
      </w:pPr>
      <w:r>
        <w:rPr>
          <w:rFonts w:ascii="Times New Roman" w:hAnsi="Times New Roman" w:eastAsia="宋体" w:cs="Times New Roman"/>
          <w:b/>
          <w:sz w:val="28"/>
          <w:szCs w:val="28"/>
        </w:rPr>
        <w:t>前言</w:t>
      </w:r>
    </w:p>
    <w:p>
      <w:pPr>
        <w:spacing w:line="360" w:lineRule="auto"/>
        <w:jc w:val="center"/>
        <w:rPr>
          <w:rFonts w:ascii="Times New Roman" w:hAnsi="Times New Roman" w:eastAsia="宋体" w:cs="Times New Roman"/>
          <w:b/>
          <w:szCs w:val="21"/>
        </w:rPr>
      </w:pP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根据重庆市住房和城乡建设委员会</w:t>
      </w:r>
      <w:r>
        <w:rPr>
          <w:rFonts w:hint="eastAsia" w:ascii="Times New Roman" w:hAnsi="Times New Roman" w:eastAsia="宋体" w:cs="Times New Roman"/>
          <w:szCs w:val="21"/>
        </w:rPr>
        <w:t>《关于下达2020年度重庆市工程建设标准制订修订项目计划的通知》（渝建标〔2020〕31号）</w:t>
      </w:r>
      <w:r>
        <w:rPr>
          <w:rFonts w:ascii="Times New Roman" w:hAnsi="Times New Roman" w:eastAsia="宋体" w:cs="Times New Roman"/>
          <w:szCs w:val="21"/>
        </w:rPr>
        <w:t>文件要求，</w:t>
      </w:r>
      <w:r>
        <w:rPr>
          <w:rFonts w:hint="eastAsia" w:ascii="Times New Roman" w:hAnsi="Times New Roman" w:eastAsia="宋体" w:cs="Times New Roman"/>
          <w:szCs w:val="21"/>
          <w:lang w:val="en-US" w:eastAsia="zh-CN"/>
        </w:rPr>
        <w:t>标准</w:t>
      </w:r>
      <w:r>
        <w:rPr>
          <w:rFonts w:ascii="Times New Roman" w:hAnsi="Times New Roman" w:eastAsia="宋体" w:cs="Times New Roman"/>
          <w:szCs w:val="21"/>
        </w:rPr>
        <w:t>编制组经广泛调查研究，认真总结工程实践经验，参考有关国家标准，并在广泛充分征求意见的基础上，</w:t>
      </w:r>
      <w:r>
        <w:rPr>
          <w:rFonts w:ascii="Times New Roman" w:hAnsi="Times New Roman" w:cs="Times New Roman"/>
          <w:szCs w:val="21"/>
        </w:rPr>
        <w:t>制定</w:t>
      </w:r>
      <w:r>
        <w:rPr>
          <w:rFonts w:ascii="Times New Roman" w:hAnsi="Times New Roman" w:eastAsia="宋体" w:cs="Times New Roman"/>
          <w:szCs w:val="21"/>
        </w:rPr>
        <w:t>本</w:t>
      </w:r>
      <w:r>
        <w:rPr>
          <w:rFonts w:ascii="Times New Roman" w:hAnsi="Times New Roman" w:cs="Times New Roman"/>
          <w:szCs w:val="21"/>
        </w:rPr>
        <w:t>标准</w:t>
      </w:r>
      <w:r>
        <w:rPr>
          <w:rFonts w:ascii="Times New Roman" w:hAnsi="Times New Roman" w:eastAsia="宋体" w:cs="Times New Roman"/>
          <w:szCs w:val="21"/>
        </w:rPr>
        <w:t>。</w:t>
      </w:r>
    </w:p>
    <w:p>
      <w:pPr>
        <w:spacing w:line="360" w:lineRule="auto"/>
        <w:ind w:firstLine="420" w:firstLineChars="200"/>
        <w:rPr>
          <w:rFonts w:ascii="Times New Roman" w:hAnsi="Times New Roman" w:cs="Times New Roman"/>
          <w:szCs w:val="21"/>
        </w:rPr>
      </w:pPr>
      <w:r>
        <w:rPr>
          <w:rFonts w:ascii="Times New Roman" w:hAnsi="Times New Roman" w:eastAsia="宋体" w:cs="Times New Roman"/>
          <w:szCs w:val="21"/>
        </w:rPr>
        <w:t>本</w:t>
      </w:r>
      <w:r>
        <w:rPr>
          <w:rFonts w:ascii="Times New Roman" w:hAnsi="Times New Roman" w:cs="Times New Roman"/>
          <w:szCs w:val="21"/>
        </w:rPr>
        <w:t>标准</w:t>
      </w:r>
      <w:r>
        <w:rPr>
          <w:rFonts w:ascii="Times New Roman" w:hAnsi="Times New Roman" w:eastAsia="宋体" w:cs="Times New Roman"/>
          <w:szCs w:val="21"/>
        </w:rPr>
        <w:t>的主要技术内容</w:t>
      </w:r>
      <w:r>
        <w:rPr>
          <w:rFonts w:ascii="Times New Roman" w:hAnsi="Times New Roman" w:cs="Times New Roman"/>
          <w:szCs w:val="21"/>
        </w:rPr>
        <w:t>是</w:t>
      </w:r>
      <w:r>
        <w:rPr>
          <w:rFonts w:ascii="Times New Roman" w:hAnsi="Times New Roman" w:eastAsia="宋体" w:cs="Times New Roman"/>
          <w:szCs w:val="21"/>
        </w:rPr>
        <w:t>：</w:t>
      </w:r>
      <w:r>
        <w:rPr>
          <w:rFonts w:hint="eastAsia" w:ascii="Times New Roman" w:hAnsi="Times New Roman" w:eastAsia="宋体" w:cs="Times New Roman"/>
          <w:szCs w:val="21"/>
        </w:rPr>
        <w:t>1.总则；2.术语和定义；3.基本规定；4.过程管理与防控；5.应急救援措施及设施；6.劳动防护用品。</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w:t>
      </w:r>
      <w:r>
        <w:rPr>
          <w:rFonts w:hint="eastAsia" w:ascii="Times New Roman" w:hAnsi="Times New Roman" w:eastAsia="宋体" w:cs="Times New Roman"/>
          <w:szCs w:val="21"/>
          <w:lang w:val="en-US" w:eastAsia="zh-CN"/>
        </w:rPr>
        <w:t>标准</w:t>
      </w:r>
      <w:r>
        <w:rPr>
          <w:rFonts w:ascii="Times New Roman" w:hAnsi="Times New Roman" w:eastAsia="宋体" w:cs="Times New Roman"/>
          <w:szCs w:val="21"/>
        </w:rPr>
        <w:t>由重庆市住房和城乡建设委员会负责管理，</w:t>
      </w:r>
      <w:r>
        <w:rPr>
          <w:rFonts w:hint="eastAsia"/>
          <w:shd w:val="clear" w:color="auto" w:fill="FFFFFF"/>
        </w:rPr>
        <w:t>重庆建工第四建设有限责任公司</w:t>
      </w:r>
      <w:r>
        <w:rPr>
          <w:rFonts w:ascii="Times New Roman" w:hAnsi="Times New Roman" w:eastAsia="宋体" w:cs="Times New Roman"/>
          <w:szCs w:val="21"/>
        </w:rPr>
        <w:t>负责具体技术内容的解释。在本</w:t>
      </w:r>
      <w:r>
        <w:rPr>
          <w:rFonts w:hint="eastAsia" w:ascii="Times New Roman" w:hAnsi="Times New Roman" w:eastAsia="宋体" w:cs="Times New Roman"/>
          <w:szCs w:val="21"/>
          <w:lang w:val="en-US" w:eastAsia="zh-CN"/>
        </w:rPr>
        <w:t>标准</w:t>
      </w:r>
      <w:r>
        <w:rPr>
          <w:rFonts w:ascii="Times New Roman" w:hAnsi="Times New Roman" w:eastAsia="宋体" w:cs="Times New Roman"/>
          <w:szCs w:val="21"/>
        </w:rPr>
        <w:t>执行过程中，请各单位注意收集资料，总结经验，并将有关意见和建议反馈给</w:t>
      </w:r>
      <w:r>
        <w:rPr>
          <w:rFonts w:hint="eastAsia"/>
          <w:shd w:val="clear" w:color="auto" w:fill="FFFFFF"/>
        </w:rPr>
        <w:t>重庆建工第四建设有限责任公司</w:t>
      </w:r>
      <w:r>
        <w:rPr>
          <w:rFonts w:hint="eastAsia" w:ascii="Times New Roman" w:hAnsi="Times New Roman" w:eastAsia="宋体" w:cs="Times New Roman"/>
          <w:szCs w:val="21"/>
        </w:rPr>
        <w:t>（地址：重庆市江北区建新东路54号，</w:t>
      </w:r>
      <w:r>
        <w:rPr>
          <w:rFonts w:hint="eastAsia" w:ascii="Times New Roman" w:hAnsi="Times New Roman" w:eastAsia="宋体" w:cs="Times New Roman"/>
          <w:szCs w:val="21"/>
          <w:lang w:val="en-US" w:eastAsia="zh-CN"/>
        </w:rPr>
        <w:t>邮编：400020，</w:t>
      </w:r>
      <w:r>
        <w:rPr>
          <w:rFonts w:hint="eastAsia" w:ascii="Times New Roman" w:hAnsi="Times New Roman" w:eastAsia="宋体" w:cs="Times New Roman"/>
          <w:szCs w:val="21"/>
        </w:rPr>
        <w:t>电话：</w:t>
      </w:r>
      <w:r>
        <w:rPr>
          <w:rFonts w:hint="eastAsia" w:ascii="Times New Roman" w:hAnsi="Times New Roman" w:eastAsia="宋体" w:cs="Times New Roman"/>
          <w:szCs w:val="21"/>
          <w:lang w:val="en-US" w:eastAsia="zh-CN"/>
        </w:rPr>
        <w:t>023-67716296，</w:t>
      </w:r>
      <w:r>
        <w:rPr>
          <w:sz w:val="21"/>
          <w:szCs w:val="21"/>
        </w:rPr>
        <w:t>网址：http</w:t>
      </w:r>
      <w:r>
        <w:rPr>
          <w:rFonts w:hint="eastAsia"/>
          <w:sz w:val="21"/>
          <w:szCs w:val="21"/>
        </w:rPr>
        <w:t>：</w:t>
      </w:r>
      <w:r>
        <w:rPr>
          <w:sz w:val="21"/>
          <w:szCs w:val="21"/>
        </w:rPr>
        <w:t>//</w:t>
      </w:r>
      <w:r>
        <w:rPr>
          <w:rFonts w:hint="eastAsia"/>
          <w:sz w:val="21"/>
          <w:szCs w:val="21"/>
        </w:rPr>
        <w:t>www.cqjg4j.com</w:t>
      </w:r>
      <w:r>
        <w:rPr>
          <w:rFonts w:hint="eastAsia" w:ascii="Times New Roman" w:hAnsi="Times New Roman" w:eastAsia="宋体" w:cs="Times New Roman"/>
          <w:szCs w:val="21"/>
        </w:rPr>
        <w:fldChar w:fldCharType="begin"/>
      </w:r>
      <w:r>
        <w:rPr>
          <w:rFonts w:hint="eastAsia" w:ascii="Times New Roman" w:hAnsi="Times New Roman" w:eastAsia="宋体" w:cs="Times New Roman"/>
          <w:szCs w:val="21"/>
        </w:rPr>
        <w:instrText xml:space="preserve"> HYPERLINK "mailto:857214024@qq.com），以便今后修订时参考。" </w:instrText>
      </w:r>
      <w:r>
        <w:rPr>
          <w:rFonts w:hint="eastAsia" w:ascii="Times New Roman" w:hAnsi="Times New Roman" w:eastAsia="宋体" w:cs="Times New Roman"/>
          <w:szCs w:val="21"/>
        </w:rPr>
        <w:fldChar w:fldCharType="separate"/>
      </w:r>
      <w:r>
        <w:rPr>
          <w:rFonts w:hint="eastAsia" w:ascii="Times New Roman" w:hAnsi="Times New Roman" w:eastAsia="宋体" w:cs="Times New Roman"/>
          <w:szCs w:val="21"/>
        </w:rPr>
        <w:t>）</w:t>
      </w:r>
      <w:r>
        <w:rPr>
          <w:rFonts w:hint="eastAsia" w:ascii="Times New Roman" w:hAnsi="Times New Roman" w:eastAsia="宋体" w:cs="Times New Roman"/>
          <w:szCs w:val="21"/>
          <w:lang w:val="en-US" w:eastAsia="zh-CN"/>
        </w:rPr>
        <w:t>。</w:t>
      </w:r>
      <w:r>
        <w:rPr>
          <w:rFonts w:hint="eastAsia" w:ascii="Times New Roman" w:hAnsi="Times New Roman" w:eastAsia="宋体" w:cs="Times New Roman"/>
          <w:szCs w:val="21"/>
        </w:rPr>
        <w:fldChar w:fldCharType="end"/>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本</w:t>
      </w:r>
      <w:r>
        <w:rPr>
          <w:rFonts w:ascii="Times New Roman" w:hAnsi="Times New Roman" w:cs="Times New Roman"/>
          <w:szCs w:val="21"/>
        </w:rPr>
        <w:t>标准</w:t>
      </w:r>
      <w:r>
        <w:rPr>
          <w:rFonts w:ascii="Times New Roman" w:hAnsi="Times New Roman" w:eastAsia="宋体" w:cs="Times New Roman"/>
          <w:szCs w:val="21"/>
        </w:rPr>
        <w:t>主编单位、参编单位、主要起草人和审查专家：</w:t>
      </w:r>
    </w:p>
    <w:p>
      <w:pPr>
        <w:autoSpaceDE w:val="0"/>
        <w:autoSpaceDN w:val="0"/>
        <w:adjustRightInd w:val="0"/>
        <w:spacing w:line="400" w:lineRule="atLeast"/>
        <w:ind w:firstLine="420"/>
        <w:rPr>
          <w:szCs w:val="21"/>
        </w:rPr>
      </w:pPr>
      <w:r>
        <w:rPr>
          <w:rFonts w:ascii="Times New Roman" w:hAnsi="Times New Roman" w:eastAsia="宋体" w:cs="Times New Roman"/>
          <w:szCs w:val="21"/>
        </w:rPr>
        <w:t xml:space="preserve">主编单位： </w:t>
      </w:r>
      <w:r>
        <w:rPr>
          <w:rFonts w:hint="eastAsia"/>
          <w:szCs w:val="21"/>
        </w:rPr>
        <w:t>重庆建工第四建设有限责任公司</w:t>
      </w:r>
    </w:p>
    <w:p>
      <w:pPr>
        <w:autoSpaceDE w:val="0"/>
        <w:autoSpaceDN w:val="0"/>
        <w:adjustRightInd w:val="0"/>
        <w:spacing w:line="400" w:lineRule="atLeast"/>
        <w:ind w:firstLine="1558" w:firstLineChars="742"/>
        <w:rPr>
          <w:color w:val="auto"/>
          <w:szCs w:val="21"/>
        </w:rPr>
      </w:pPr>
      <w:r>
        <w:rPr>
          <w:rFonts w:hint="eastAsia"/>
          <w:color w:val="auto"/>
          <w:szCs w:val="21"/>
        </w:rPr>
        <w:t>重庆市建设工程施工安全管理总站</w:t>
      </w:r>
    </w:p>
    <w:p>
      <w:pPr>
        <w:autoSpaceDE w:val="0"/>
        <w:autoSpaceDN w:val="0"/>
        <w:adjustRightInd w:val="0"/>
        <w:spacing w:line="400" w:lineRule="atLeast"/>
        <w:ind w:firstLine="420"/>
        <w:rPr>
          <w:color w:val="000000"/>
        </w:rPr>
      </w:pPr>
      <w:r>
        <w:rPr>
          <w:rFonts w:ascii="Times New Roman" w:hAnsi="Times New Roman" w:eastAsia="宋体" w:cs="Times New Roman"/>
          <w:szCs w:val="21"/>
        </w:rPr>
        <w:t xml:space="preserve">参编单位： </w:t>
      </w:r>
      <w:r>
        <w:rPr>
          <w:rFonts w:hint="eastAsia"/>
          <w:color w:val="000000"/>
        </w:rPr>
        <w:t>重庆市疾病预防控制中心</w:t>
      </w:r>
    </w:p>
    <w:p>
      <w:pPr>
        <w:autoSpaceDE w:val="0"/>
        <w:autoSpaceDN w:val="0"/>
        <w:adjustRightInd w:val="0"/>
        <w:spacing w:line="400" w:lineRule="atLeast"/>
        <w:ind w:firstLine="1558" w:firstLineChars="742"/>
        <w:rPr>
          <w:szCs w:val="21"/>
        </w:rPr>
      </w:pPr>
      <w:r>
        <w:rPr>
          <w:rFonts w:hint="eastAsia"/>
          <w:szCs w:val="21"/>
        </w:rPr>
        <w:t>重庆建工集团股份有限公司</w:t>
      </w:r>
    </w:p>
    <w:p>
      <w:pPr>
        <w:autoSpaceDE w:val="0"/>
        <w:autoSpaceDN w:val="0"/>
        <w:adjustRightInd w:val="0"/>
        <w:spacing w:line="400" w:lineRule="atLeast"/>
        <w:ind w:firstLine="1558" w:firstLineChars="742"/>
        <w:rPr>
          <w:szCs w:val="21"/>
        </w:rPr>
      </w:pPr>
      <w:r>
        <w:rPr>
          <w:rFonts w:hint="eastAsia"/>
          <w:szCs w:val="21"/>
        </w:rPr>
        <w:t>重庆建工住宅建设有限公司</w:t>
      </w:r>
    </w:p>
    <w:p>
      <w:pPr>
        <w:autoSpaceDE w:val="0"/>
        <w:autoSpaceDN w:val="0"/>
        <w:adjustRightInd w:val="0"/>
        <w:spacing w:line="400" w:lineRule="atLeast"/>
        <w:ind w:firstLine="1558" w:firstLineChars="742"/>
        <w:rPr>
          <w:szCs w:val="21"/>
        </w:rPr>
      </w:pPr>
      <w:r>
        <w:rPr>
          <w:rFonts w:hint="eastAsia"/>
          <w:szCs w:val="21"/>
        </w:rPr>
        <w:t>重庆拓达建设（集团）有限公司</w:t>
      </w:r>
    </w:p>
    <w:p>
      <w:pPr>
        <w:autoSpaceDE w:val="0"/>
        <w:autoSpaceDN w:val="0"/>
        <w:adjustRightInd w:val="0"/>
        <w:spacing w:line="400" w:lineRule="atLeast"/>
        <w:ind w:firstLine="1558" w:firstLineChars="742"/>
        <w:rPr>
          <w:szCs w:val="21"/>
        </w:rPr>
      </w:pPr>
      <w:r>
        <w:rPr>
          <w:rFonts w:hint="eastAsia"/>
          <w:szCs w:val="21"/>
        </w:rPr>
        <w:t xml:space="preserve">中国建筑第八工程局有限公司  </w:t>
      </w:r>
    </w:p>
    <w:p>
      <w:pPr>
        <w:autoSpaceDE w:val="0"/>
        <w:autoSpaceDN w:val="0"/>
        <w:adjustRightInd w:val="0"/>
        <w:spacing w:line="400" w:lineRule="atLeast"/>
        <w:ind w:firstLine="1558" w:firstLineChars="742"/>
        <w:rPr>
          <w:szCs w:val="21"/>
        </w:rPr>
      </w:pPr>
      <w:r>
        <w:rPr>
          <w:rFonts w:hint="eastAsia"/>
          <w:szCs w:val="21"/>
        </w:rPr>
        <w:t xml:space="preserve">重庆建工第九建设有限公司            </w:t>
      </w:r>
    </w:p>
    <w:p>
      <w:pPr>
        <w:autoSpaceDE w:val="0"/>
        <w:autoSpaceDN w:val="0"/>
        <w:adjustRightInd w:val="0"/>
        <w:spacing w:line="400" w:lineRule="atLeast"/>
        <w:ind w:firstLine="1558" w:firstLineChars="742"/>
        <w:rPr>
          <w:szCs w:val="21"/>
        </w:rPr>
      </w:pPr>
      <w:r>
        <w:rPr>
          <w:rFonts w:hint="eastAsia"/>
          <w:szCs w:val="21"/>
        </w:rPr>
        <w:t>重庆建工第三建设有限责任公司</w:t>
      </w:r>
    </w:p>
    <w:p>
      <w:pPr>
        <w:autoSpaceDE w:val="0"/>
        <w:autoSpaceDN w:val="0"/>
        <w:adjustRightInd w:val="0"/>
        <w:spacing w:line="400" w:lineRule="atLeast"/>
        <w:ind w:firstLine="1558" w:firstLineChars="742"/>
        <w:rPr>
          <w:szCs w:val="21"/>
        </w:rPr>
      </w:pPr>
      <w:r>
        <w:rPr>
          <w:rFonts w:hint="eastAsia"/>
          <w:szCs w:val="21"/>
        </w:rPr>
        <w:t>中交二航局第二工程有限公司</w:t>
      </w:r>
    </w:p>
    <w:p>
      <w:pPr>
        <w:autoSpaceDE w:val="0"/>
        <w:autoSpaceDN w:val="0"/>
        <w:adjustRightInd w:val="0"/>
        <w:spacing w:line="400" w:lineRule="atLeast"/>
        <w:ind w:firstLine="1558" w:firstLineChars="742"/>
        <w:rPr>
          <w:szCs w:val="21"/>
        </w:rPr>
      </w:pPr>
      <w:r>
        <w:rPr>
          <w:rFonts w:hint="eastAsia"/>
          <w:szCs w:val="21"/>
        </w:rPr>
        <w:t>中国建筑第二工程局有限公司</w:t>
      </w: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 xml:space="preserve">主要起草人： </w:t>
      </w: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p>
    <w:p>
      <w:pPr>
        <w:spacing w:line="360" w:lineRule="auto"/>
        <w:ind w:firstLine="420" w:firstLineChars="200"/>
        <w:rPr>
          <w:rFonts w:ascii="Times New Roman" w:hAnsi="Times New Roman" w:eastAsia="宋体" w:cs="Times New Roman"/>
          <w:szCs w:val="21"/>
        </w:rPr>
      </w:pPr>
      <w:r>
        <w:rPr>
          <w:rFonts w:ascii="Times New Roman" w:hAnsi="Times New Roman" w:eastAsia="宋体" w:cs="Times New Roman"/>
          <w:szCs w:val="21"/>
        </w:rPr>
        <w:t>审查专家：</w:t>
      </w:r>
    </w:p>
    <w:p>
      <w:pPr>
        <w:spacing w:line="360" w:lineRule="auto"/>
        <w:rPr>
          <w:rFonts w:ascii="Times New Roman" w:hAnsi="Times New Roman" w:cs="Times New Roman"/>
        </w:rPr>
      </w:pPr>
    </w:p>
    <w:p>
      <w:pPr>
        <w:spacing w:line="360" w:lineRule="auto"/>
        <w:rPr>
          <w:rFonts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ascii="Times New Roman" w:cs="Times New Roman"/>
          <w:b/>
          <w:sz w:val="28"/>
          <w:szCs w:val="28"/>
        </w:rPr>
      </w:pPr>
    </w:p>
    <w:sdt>
      <w:sdtPr>
        <w:rPr>
          <w:lang w:val="zh-CN"/>
        </w:rPr>
        <w:id w:val="-95714866"/>
        <w:docPartObj>
          <w:docPartGallery w:val="Table of Contents"/>
          <w:docPartUnique/>
        </w:docPartObj>
      </w:sdtPr>
      <w:sdtEndPr>
        <w:rPr>
          <w:b/>
          <w:bCs/>
          <w:lang w:val="zh-CN"/>
        </w:rPr>
      </w:sdtEndPr>
      <w:sdtContent>
        <w:p>
          <w:pPr>
            <w:spacing w:line="360" w:lineRule="auto"/>
            <w:jc w:val="center"/>
            <w:rPr>
              <w:rFonts w:ascii="Times New Roman" w:hAnsi="Times New Roman" w:cs="Times New Roman"/>
              <w:b/>
              <w:sz w:val="28"/>
              <w:szCs w:val="28"/>
            </w:rPr>
          </w:pPr>
          <w:r>
            <w:rPr>
              <w:rFonts w:ascii="Times New Roman" w:cs="Times New Roman"/>
              <w:b/>
              <w:sz w:val="28"/>
              <w:szCs w:val="28"/>
            </w:rPr>
            <w:t>目</w:t>
          </w:r>
          <w:r>
            <w:rPr>
              <w:rFonts w:hint="eastAsia" w:ascii="Times New Roman" w:cs="Times New Roman"/>
              <w:b/>
              <w:sz w:val="28"/>
              <w:szCs w:val="28"/>
            </w:rPr>
            <w:t xml:space="preserve"> </w:t>
          </w:r>
          <w:r>
            <w:rPr>
              <w:rFonts w:ascii="Times New Roman" w:cs="Times New Roman"/>
              <w:b/>
              <w:sz w:val="28"/>
              <w:szCs w:val="28"/>
            </w:rPr>
            <w:t xml:space="preserve"> 次</w:t>
          </w:r>
        </w:p>
        <w:p>
          <w:pPr>
            <w:pStyle w:val="15"/>
            <w:ind w:firstLine="0" w:firstLineChars="0"/>
            <w:rPr>
              <w:rFonts w:asciiTheme="minorEastAsia" w:hAnsiTheme="minorEastAsia" w:eastAsiaTheme="minorEastAsia" w:cstheme="minorBidi"/>
              <w:i w:val="0"/>
              <w:iCs/>
              <w:sz w:val="21"/>
              <w:szCs w:val="21"/>
              <w:u w:val="none"/>
            </w:rPr>
          </w:pPr>
          <w:r>
            <w:rPr>
              <w:rFonts w:asciiTheme="minorEastAsia" w:hAnsiTheme="minorEastAsia" w:eastAsiaTheme="minorEastAsia"/>
              <w:i w:val="0"/>
              <w:iCs/>
              <w:sz w:val="21"/>
              <w:szCs w:val="21"/>
              <w:u w:val="none"/>
            </w:rPr>
            <w:fldChar w:fldCharType="begin"/>
          </w:r>
          <w:r>
            <w:rPr>
              <w:rFonts w:asciiTheme="minorEastAsia" w:hAnsiTheme="minorEastAsia" w:eastAsiaTheme="minorEastAsia"/>
              <w:i w:val="0"/>
              <w:iCs/>
              <w:sz w:val="21"/>
              <w:szCs w:val="21"/>
              <w:u w:val="none"/>
            </w:rPr>
            <w:instrText xml:space="preserve"> TOC \o "1-3" \h \z \u </w:instrText>
          </w:r>
          <w:r>
            <w:rPr>
              <w:rFonts w:asciiTheme="minorEastAsia" w:hAnsiTheme="minorEastAsia" w:eastAsiaTheme="minorEastAsia"/>
              <w:i w:val="0"/>
              <w:iCs/>
              <w:sz w:val="21"/>
              <w:szCs w:val="21"/>
              <w:u w:val="none"/>
            </w:rPr>
            <w:fldChar w:fldCharType="separate"/>
          </w:r>
          <w:r>
            <w:fldChar w:fldCharType="begin"/>
          </w:r>
          <w:r>
            <w:instrText xml:space="preserve"> HYPERLINK \l "_Toc101823005" </w:instrText>
          </w:r>
          <w:r>
            <w:fldChar w:fldCharType="separate"/>
          </w:r>
          <w:r>
            <w:rPr>
              <w:rStyle w:val="28"/>
              <w:rFonts w:asciiTheme="minorEastAsia" w:hAnsiTheme="minorEastAsia" w:eastAsiaTheme="minorEastAsia"/>
              <w:i w:val="0"/>
              <w:iCs/>
              <w:kern w:val="0"/>
              <w:sz w:val="21"/>
              <w:szCs w:val="21"/>
            </w:rPr>
            <w:t>1  总  则</w:t>
          </w:r>
          <w:r>
            <w:rPr>
              <w:rFonts w:asciiTheme="minorEastAsia" w:hAnsiTheme="minorEastAsia" w:eastAsiaTheme="minorEastAsia"/>
              <w:i w:val="0"/>
              <w:iCs/>
              <w:sz w:val="21"/>
              <w:szCs w:val="21"/>
              <w:u w:val="none"/>
            </w:rPr>
            <w:tab/>
          </w:r>
          <w:r>
            <w:rPr>
              <w:rFonts w:asciiTheme="minorEastAsia" w:hAnsiTheme="minorEastAsia" w:eastAsiaTheme="minorEastAsia"/>
              <w:i w:val="0"/>
              <w:iCs/>
              <w:sz w:val="21"/>
              <w:szCs w:val="21"/>
              <w:u w:val="none"/>
            </w:rPr>
            <w:fldChar w:fldCharType="begin"/>
          </w:r>
          <w:r>
            <w:rPr>
              <w:rFonts w:asciiTheme="minorEastAsia" w:hAnsiTheme="minorEastAsia" w:eastAsiaTheme="minorEastAsia"/>
              <w:i w:val="0"/>
              <w:iCs/>
              <w:sz w:val="21"/>
              <w:szCs w:val="21"/>
              <w:u w:val="none"/>
            </w:rPr>
            <w:instrText xml:space="preserve"> PAGEREF _Toc101823005 \h </w:instrText>
          </w:r>
          <w:r>
            <w:rPr>
              <w:rFonts w:asciiTheme="minorEastAsia" w:hAnsiTheme="minorEastAsia" w:eastAsiaTheme="minorEastAsia"/>
              <w:i w:val="0"/>
              <w:iCs/>
              <w:sz w:val="21"/>
              <w:szCs w:val="21"/>
              <w:u w:val="none"/>
            </w:rPr>
            <w:fldChar w:fldCharType="separate"/>
          </w:r>
          <w:r>
            <w:rPr>
              <w:rFonts w:asciiTheme="minorEastAsia" w:hAnsiTheme="minorEastAsia" w:eastAsiaTheme="minorEastAsia"/>
              <w:i w:val="0"/>
              <w:iCs/>
              <w:sz w:val="21"/>
              <w:szCs w:val="21"/>
              <w:u w:val="none"/>
            </w:rPr>
            <w:t>1</w:t>
          </w:r>
          <w:r>
            <w:rPr>
              <w:rFonts w:asciiTheme="minorEastAsia" w:hAnsiTheme="minorEastAsia" w:eastAsiaTheme="minorEastAsia"/>
              <w:i w:val="0"/>
              <w:iCs/>
              <w:sz w:val="21"/>
              <w:szCs w:val="21"/>
              <w:u w:val="none"/>
            </w:rPr>
            <w:fldChar w:fldCharType="end"/>
          </w:r>
          <w:r>
            <w:rPr>
              <w:rFonts w:asciiTheme="minorEastAsia" w:hAnsiTheme="minorEastAsia" w:eastAsiaTheme="minorEastAsia"/>
              <w:i w:val="0"/>
              <w:iCs/>
              <w:sz w:val="21"/>
              <w:szCs w:val="21"/>
              <w:u w:val="none"/>
            </w:rPr>
            <w:fldChar w:fldCharType="end"/>
          </w:r>
        </w:p>
        <w:p>
          <w:pPr>
            <w:pStyle w:val="15"/>
            <w:ind w:firstLine="0" w:firstLineChars="0"/>
            <w:rPr>
              <w:rFonts w:asciiTheme="minorEastAsia" w:hAnsiTheme="minorEastAsia" w:eastAsiaTheme="minorEastAsia" w:cstheme="minorBidi"/>
              <w:i w:val="0"/>
              <w:iCs/>
              <w:sz w:val="21"/>
              <w:szCs w:val="21"/>
              <w:u w:val="none"/>
            </w:rPr>
          </w:pPr>
          <w:r>
            <w:fldChar w:fldCharType="begin"/>
          </w:r>
          <w:r>
            <w:instrText xml:space="preserve"> HYPERLINK \l "_Toc101823006" </w:instrText>
          </w:r>
          <w:r>
            <w:fldChar w:fldCharType="separate"/>
          </w:r>
          <w:r>
            <w:rPr>
              <w:rStyle w:val="28"/>
              <w:rFonts w:asciiTheme="minorEastAsia" w:hAnsiTheme="minorEastAsia" w:eastAsiaTheme="minorEastAsia"/>
              <w:i w:val="0"/>
              <w:iCs/>
              <w:kern w:val="0"/>
              <w:sz w:val="21"/>
              <w:szCs w:val="21"/>
            </w:rPr>
            <w:t>2  术语</w:t>
          </w:r>
          <w:r>
            <w:rPr>
              <w:rFonts w:asciiTheme="minorEastAsia" w:hAnsiTheme="minorEastAsia" w:eastAsiaTheme="minorEastAsia"/>
              <w:i w:val="0"/>
              <w:iCs/>
              <w:sz w:val="21"/>
              <w:szCs w:val="21"/>
              <w:u w:val="none"/>
            </w:rPr>
            <w:tab/>
          </w:r>
          <w:r>
            <w:rPr>
              <w:rFonts w:asciiTheme="minorEastAsia" w:hAnsiTheme="minorEastAsia" w:eastAsiaTheme="minorEastAsia"/>
              <w:i w:val="0"/>
              <w:iCs/>
              <w:sz w:val="21"/>
              <w:szCs w:val="21"/>
              <w:u w:val="none"/>
            </w:rPr>
            <w:fldChar w:fldCharType="begin"/>
          </w:r>
          <w:r>
            <w:rPr>
              <w:rFonts w:asciiTheme="minorEastAsia" w:hAnsiTheme="minorEastAsia" w:eastAsiaTheme="minorEastAsia"/>
              <w:i w:val="0"/>
              <w:iCs/>
              <w:sz w:val="21"/>
              <w:szCs w:val="21"/>
              <w:u w:val="none"/>
            </w:rPr>
            <w:instrText xml:space="preserve"> PAGEREF _Toc101823006 \h </w:instrText>
          </w:r>
          <w:r>
            <w:rPr>
              <w:rFonts w:asciiTheme="minorEastAsia" w:hAnsiTheme="minorEastAsia" w:eastAsiaTheme="minorEastAsia"/>
              <w:i w:val="0"/>
              <w:iCs/>
              <w:sz w:val="21"/>
              <w:szCs w:val="21"/>
              <w:u w:val="none"/>
            </w:rPr>
            <w:fldChar w:fldCharType="separate"/>
          </w:r>
          <w:r>
            <w:rPr>
              <w:rFonts w:asciiTheme="minorEastAsia" w:hAnsiTheme="minorEastAsia" w:eastAsiaTheme="minorEastAsia"/>
              <w:i w:val="0"/>
              <w:iCs/>
              <w:sz w:val="21"/>
              <w:szCs w:val="21"/>
              <w:u w:val="none"/>
            </w:rPr>
            <w:t>2</w:t>
          </w:r>
          <w:r>
            <w:rPr>
              <w:rFonts w:asciiTheme="minorEastAsia" w:hAnsiTheme="minorEastAsia" w:eastAsiaTheme="minorEastAsia"/>
              <w:i w:val="0"/>
              <w:iCs/>
              <w:sz w:val="21"/>
              <w:szCs w:val="21"/>
              <w:u w:val="none"/>
            </w:rPr>
            <w:fldChar w:fldCharType="end"/>
          </w:r>
          <w:r>
            <w:rPr>
              <w:rFonts w:asciiTheme="minorEastAsia" w:hAnsiTheme="minorEastAsia" w:eastAsiaTheme="minorEastAsia"/>
              <w:i w:val="0"/>
              <w:iCs/>
              <w:sz w:val="21"/>
              <w:szCs w:val="21"/>
              <w:u w:val="none"/>
            </w:rPr>
            <w:fldChar w:fldCharType="end"/>
          </w:r>
        </w:p>
        <w:p>
          <w:pPr>
            <w:pStyle w:val="15"/>
            <w:ind w:firstLine="0" w:firstLineChars="0"/>
            <w:rPr>
              <w:rFonts w:asciiTheme="minorEastAsia" w:hAnsiTheme="minorEastAsia" w:eastAsiaTheme="minorEastAsia" w:cstheme="minorBidi"/>
              <w:i w:val="0"/>
              <w:iCs/>
              <w:sz w:val="21"/>
              <w:szCs w:val="21"/>
              <w:u w:val="none"/>
            </w:rPr>
          </w:pPr>
          <w:r>
            <w:fldChar w:fldCharType="begin"/>
          </w:r>
          <w:r>
            <w:instrText xml:space="preserve"> HYPERLINK \l "_Toc101823008" </w:instrText>
          </w:r>
          <w:r>
            <w:fldChar w:fldCharType="separate"/>
          </w:r>
          <w:r>
            <w:rPr>
              <w:rStyle w:val="28"/>
              <w:rFonts w:asciiTheme="minorEastAsia" w:hAnsiTheme="minorEastAsia" w:eastAsiaTheme="minorEastAsia"/>
              <w:i w:val="0"/>
              <w:iCs/>
              <w:kern w:val="0"/>
              <w:sz w:val="21"/>
              <w:szCs w:val="21"/>
            </w:rPr>
            <w:t>3  基本规定</w:t>
          </w:r>
          <w:r>
            <w:rPr>
              <w:rFonts w:asciiTheme="minorEastAsia" w:hAnsiTheme="minorEastAsia" w:eastAsiaTheme="minorEastAsia"/>
              <w:i w:val="0"/>
              <w:iCs/>
              <w:sz w:val="21"/>
              <w:szCs w:val="21"/>
              <w:u w:val="none"/>
            </w:rPr>
            <w:tab/>
          </w:r>
          <w:r>
            <w:rPr>
              <w:rFonts w:asciiTheme="minorEastAsia" w:hAnsiTheme="minorEastAsia" w:eastAsiaTheme="minorEastAsia"/>
              <w:i w:val="0"/>
              <w:iCs/>
              <w:sz w:val="21"/>
              <w:szCs w:val="21"/>
              <w:u w:val="none"/>
            </w:rPr>
            <w:fldChar w:fldCharType="begin"/>
          </w:r>
          <w:r>
            <w:rPr>
              <w:rFonts w:asciiTheme="minorEastAsia" w:hAnsiTheme="minorEastAsia" w:eastAsiaTheme="minorEastAsia"/>
              <w:i w:val="0"/>
              <w:iCs/>
              <w:sz w:val="21"/>
              <w:szCs w:val="21"/>
              <w:u w:val="none"/>
            </w:rPr>
            <w:instrText xml:space="preserve"> PAGEREF _Toc101823008 \h </w:instrText>
          </w:r>
          <w:r>
            <w:rPr>
              <w:rFonts w:asciiTheme="minorEastAsia" w:hAnsiTheme="minorEastAsia" w:eastAsiaTheme="minorEastAsia"/>
              <w:i w:val="0"/>
              <w:iCs/>
              <w:sz w:val="21"/>
              <w:szCs w:val="21"/>
              <w:u w:val="none"/>
            </w:rPr>
            <w:fldChar w:fldCharType="separate"/>
          </w:r>
          <w:r>
            <w:rPr>
              <w:rFonts w:asciiTheme="minorEastAsia" w:hAnsiTheme="minorEastAsia" w:eastAsiaTheme="minorEastAsia"/>
              <w:i w:val="0"/>
              <w:iCs/>
              <w:sz w:val="21"/>
              <w:szCs w:val="21"/>
              <w:u w:val="none"/>
            </w:rPr>
            <w:t>4</w:t>
          </w:r>
          <w:r>
            <w:rPr>
              <w:rFonts w:asciiTheme="minorEastAsia" w:hAnsiTheme="minorEastAsia" w:eastAsiaTheme="minorEastAsia"/>
              <w:i w:val="0"/>
              <w:iCs/>
              <w:sz w:val="21"/>
              <w:szCs w:val="21"/>
              <w:u w:val="none"/>
            </w:rPr>
            <w:fldChar w:fldCharType="end"/>
          </w:r>
          <w:r>
            <w:rPr>
              <w:rFonts w:asciiTheme="minorEastAsia" w:hAnsiTheme="minorEastAsia" w:eastAsiaTheme="minorEastAsia"/>
              <w:i w:val="0"/>
              <w:iCs/>
              <w:sz w:val="21"/>
              <w:szCs w:val="21"/>
              <w:u w:val="none"/>
            </w:rPr>
            <w:fldChar w:fldCharType="end"/>
          </w:r>
        </w:p>
        <w:p>
          <w:pPr>
            <w:pStyle w:val="18"/>
            <w:tabs>
              <w:tab w:val="right" w:leader="dot" w:pos="8296"/>
            </w:tabs>
            <w:spacing w:line="360" w:lineRule="auto"/>
            <w:ind w:left="0" w:leftChars="0"/>
            <w:rPr>
              <w:rFonts w:asciiTheme="minorEastAsia" w:hAnsiTheme="minorEastAsia" w:eastAsiaTheme="minorEastAsia" w:cstheme="minorBidi"/>
              <w:iCs/>
              <w:szCs w:val="21"/>
            </w:rPr>
          </w:pPr>
          <w:r>
            <w:fldChar w:fldCharType="begin"/>
          </w:r>
          <w:r>
            <w:instrText xml:space="preserve"> HYPERLINK \l "_Toc101823009" </w:instrText>
          </w:r>
          <w:r>
            <w:fldChar w:fldCharType="separate"/>
          </w:r>
          <w:r>
            <w:rPr>
              <w:rStyle w:val="28"/>
              <w:rFonts w:asciiTheme="minorEastAsia" w:hAnsiTheme="minorEastAsia" w:eastAsiaTheme="minorEastAsia"/>
              <w:iCs/>
              <w:szCs w:val="21"/>
            </w:rPr>
            <w:t>3.1 组织机构和规章制度</w:t>
          </w:r>
          <w:r>
            <w:rPr>
              <w:rFonts w:asciiTheme="minorEastAsia" w:hAnsiTheme="minorEastAsia" w:eastAsiaTheme="minorEastAsia"/>
              <w:iCs/>
              <w:szCs w:val="21"/>
            </w:rPr>
            <w:tab/>
          </w:r>
          <w:r>
            <w:rPr>
              <w:rFonts w:asciiTheme="minorEastAsia" w:hAnsiTheme="minorEastAsia" w:eastAsiaTheme="minorEastAsia"/>
              <w:iCs/>
              <w:szCs w:val="21"/>
            </w:rPr>
            <w:fldChar w:fldCharType="begin"/>
          </w:r>
          <w:r>
            <w:rPr>
              <w:rFonts w:asciiTheme="minorEastAsia" w:hAnsiTheme="minorEastAsia" w:eastAsiaTheme="minorEastAsia"/>
              <w:iCs/>
              <w:szCs w:val="21"/>
            </w:rPr>
            <w:instrText xml:space="preserve"> PAGEREF _Toc101823009 \h </w:instrText>
          </w:r>
          <w:r>
            <w:rPr>
              <w:rFonts w:asciiTheme="minorEastAsia" w:hAnsiTheme="minorEastAsia" w:eastAsiaTheme="minorEastAsia"/>
              <w:iCs/>
              <w:szCs w:val="21"/>
            </w:rPr>
            <w:fldChar w:fldCharType="separate"/>
          </w:r>
          <w:r>
            <w:rPr>
              <w:rFonts w:asciiTheme="minorEastAsia" w:hAnsiTheme="minorEastAsia" w:eastAsiaTheme="minorEastAsia"/>
              <w:iCs/>
              <w:szCs w:val="21"/>
            </w:rPr>
            <w:t>4</w:t>
          </w:r>
          <w:r>
            <w:rPr>
              <w:rFonts w:asciiTheme="minorEastAsia" w:hAnsiTheme="minorEastAsia" w:eastAsiaTheme="minorEastAsia"/>
              <w:iCs/>
              <w:szCs w:val="21"/>
            </w:rPr>
            <w:fldChar w:fldCharType="end"/>
          </w:r>
          <w:r>
            <w:rPr>
              <w:rFonts w:asciiTheme="minorEastAsia" w:hAnsiTheme="minorEastAsia" w:eastAsiaTheme="minorEastAsia"/>
              <w:iCs/>
              <w:szCs w:val="21"/>
            </w:rPr>
            <w:fldChar w:fldCharType="end"/>
          </w:r>
        </w:p>
        <w:p>
          <w:pPr>
            <w:pStyle w:val="18"/>
            <w:tabs>
              <w:tab w:val="right" w:leader="dot" w:pos="8296"/>
            </w:tabs>
            <w:spacing w:line="360" w:lineRule="auto"/>
            <w:ind w:left="0" w:leftChars="0"/>
            <w:rPr>
              <w:rFonts w:asciiTheme="minorEastAsia" w:hAnsiTheme="minorEastAsia" w:eastAsiaTheme="minorEastAsia" w:cstheme="minorBidi"/>
              <w:iCs/>
              <w:szCs w:val="21"/>
            </w:rPr>
          </w:pPr>
          <w:r>
            <w:fldChar w:fldCharType="begin"/>
          </w:r>
          <w:r>
            <w:instrText xml:space="preserve"> HYPERLINK \l "_Toc101823010" </w:instrText>
          </w:r>
          <w:r>
            <w:fldChar w:fldCharType="separate"/>
          </w:r>
          <w:r>
            <w:rPr>
              <w:rStyle w:val="28"/>
              <w:rFonts w:asciiTheme="minorEastAsia" w:hAnsiTheme="minorEastAsia" w:eastAsiaTheme="minorEastAsia"/>
              <w:iCs/>
              <w:szCs w:val="21"/>
            </w:rPr>
            <w:t>3.2 预防性措施</w:t>
          </w:r>
          <w:r>
            <w:rPr>
              <w:rFonts w:asciiTheme="minorEastAsia" w:hAnsiTheme="minorEastAsia" w:eastAsiaTheme="minorEastAsia"/>
              <w:iCs/>
              <w:szCs w:val="21"/>
            </w:rPr>
            <w:tab/>
          </w:r>
          <w:r>
            <w:rPr>
              <w:rFonts w:asciiTheme="minorEastAsia" w:hAnsiTheme="minorEastAsia" w:eastAsiaTheme="minorEastAsia"/>
              <w:iCs/>
              <w:szCs w:val="21"/>
            </w:rPr>
            <w:fldChar w:fldCharType="begin"/>
          </w:r>
          <w:r>
            <w:rPr>
              <w:rFonts w:asciiTheme="minorEastAsia" w:hAnsiTheme="minorEastAsia" w:eastAsiaTheme="minorEastAsia"/>
              <w:iCs/>
              <w:szCs w:val="21"/>
            </w:rPr>
            <w:instrText xml:space="preserve"> PAGEREF _Toc101823010 \h </w:instrText>
          </w:r>
          <w:r>
            <w:rPr>
              <w:rFonts w:asciiTheme="minorEastAsia" w:hAnsiTheme="minorEastAsia" w:eastAsiaTheme="minorEastAsia"/>
              <w:iCs/>
              <w:szCs w:val="21"/>
            </w:rPr>
            <w:fldChar w:fldCharType="separate"/>
          </w:r>
          <w:r>
            <w:rPr>
              <w:rFonts w:asciiTheme="minorEastAsia" w:hAnsiTheme="minorEastAsia" w:eastAsiaTheme="minorEastAsia"/>
              <w:iCs/>
              <w:szCs w:val="21"/>
            </w:rPr>
            <w:t>5</w:t>
          </w:r>
          <w:r>
            <w:rPr>
              <w:rFonts w:asciiTheme="minorEastAsia" w:hAnsiTheme="minorEastAsia" w:eastAsiaTheme="minorEastAsia"/>
              <w:iCs/>
              <w:szCs w:val="21"/>
            </w:rPr>
            <w:fldChar w:fldCharType="end"/>
          </w:r>
          <w:r>
            <w:rPr>
              <w:rFonts w:asciiTheme="minorEastAsia" w:hAnsiTheme="minorEastAsia" w:eastAsiaTheme="minorEastAsia"/>
              <w:iCs/>
              <w:szCs w:val="21"/>
            </w:rPr>
            <w:fldChar w:fldCharType="end"/>
          </w:r>
        </w:p>
        <w:p>
          <w:pPr>
            <w:pStyle w:val="18"/>
            <w:tabs>
              <w:tab w:val="right" w:leader="dot" w:pos="8296"/>
            </w:tabs>
            <w:spacing w:line="360" w:lineRule="auto"/>
            <w:ind w:left="0" w:leftChars="0"/>
            <w:rPr>
              <w:rFonts w:asciiTheme="minorEastAsia" w:hAnsiTheme="minorEastAsia" w:eastAsiaTheme="minorEastAsia" w:cstheme="minorBidi"/>
              <w:iCs/>
              <w:szCs w:val="21"/>
            </w:rPr>
          </w:pPr>
          <w:r>
            <w:fldChar w:fldCharType="begin"/>
          </w:r>
          <w:r>
            <w:instrText xml:space="preserve"> HYPERLINK \l "_Toc101823011" </w:instrText>
          </w:r>
          <w:r>
            <w:fldChar w:fldCharType="separate"/>
          </w:r>
          <w:r>
            <w:rPr>
              <w:rStyle w:val="28"/>
              <w:rFonts w:asciiTheme="minorEastAsia" w:hAnsiTheme="minorEastAsia" w:eastAsiaTheme="minorEastAsia"/>
              <w:iCs/>
              <w:szCs w:val="21"/>
            </w:rPr>
            <w:t>3.3 职业卫生培训</w:t>
          </w:r>
          <w:r>
            <w:rPr>
              <w:rFonts w:asciiTheme="minorEastAsia" w:hAnsiTheme="minorEastAsia" w:eastAsiaTheme="minorEastAsia"/>
              <w:iCs/>
              <w:szCs w:val="21"/>
            </w:rPr>
            <w:tab/>
          </w:r>
          <w:r>
            <w:rPr>
              <w:rFonts w:asciiTheme="minorEastAsia" w:hAnsiTheme="minorEastAsia" w:eastAsiaTheme="minorEastAsia"/>
              <w:iCs/>
              <w:szCs w:val="21"/>
            </w:rPr>
            <w:fldChar w:fldCharType="begin"/>
          </w:r>
          <w:r>
            <w:rPr>
              <w:rFonts w:asciiTheme="minorEastAsia" w:hAnsiTheme="minorEastAsia" w:eastAsiaTheme="minorEastAsia"/>
              <w:iCs/>
              <w:szCs w:val="21"/>
            </w:rPr>
            <w:instrText xml:space="preserve"> PAGEREF _Toc101823011 \h </w:instrText>
          </w:r>
          <w:r>
            <w:rPr>
              <w:rFonts w:asciiTheme="minorEastAsia" w:hAnsiTheme="minorEastAsia" w:eastAsiaTheme="minorEastAsia"/>
              <w:iCs/>
              <w:szCs w:val="21"/>
            </w:rPr>
            <w:fldChar w:fldCharType="separate"/>
          </w:r>
          <w:r>
            <w:rPr>
              <w:rFonts w:asciiTheme="minorEastAsia" w:hAnsiTheme="minorEastAsia" w:eastAsiaTheme="minorEastAsia"/>
              <w:iCs/>
              <w:szCs w:val="21"/>
            </w:rPr>
            <w:t>6</w:t>
          </w:r>
          <w:r>
            <w:rPr>
              <w:rFonts w:asciiTheme="minorEastAsia" w:hAnsiTheme="minorEastAsia" w:eastAsiaTheme="minorEastAsia"/>
              <w:iCs/>
              <w:szCs w:val="21"/>
            </w:rPr>
            <w:fldChar w:fldCharType="end"/>
          </w:r>
          <w:r>
            <w:rPr>
              <w:rFonts w:asciiTheme="minorEastAsia" w:hAnsiTheme="minorEastAsia" w:eastAsiaTheme="minorEastAsia"/>
              <w:iCs/>
              <w:szCs w:val="21"/>
            </w:rPr>
            <w:fldChar w:fldCharType="end"/>
          </w:r>
        </w:p>
        <w:p>
          <w:pPr>
            <w:pStyle w:val="18"/>
            <w:tabs>
              <w:tab w:val="right" w:leader="dot" w:pos="8296"/>
            </w:tabs>
            <w:spacing w:line="360" w:lineRule="auto"/>
            <w:ind w:left="0" w:leftChars="0"/>
            <w:rPr>
              <w:rFonts w:asciiTheme="minorEastAsia" w:hAnsiTheme="minorEastAsia" w:eastAsiaTheme="minorEastAsia" w:cstheme="minorBidi"/>
              <w:iCs/>
              <w:szCs w:val="21"/>
            </w:rPr>
          </w:pPr>
          <w:r>
            <w:fldChar w:fldCharType="begin"/>
          </w:r>
          <w:r>
            <w:instrText xml:space="preserve"> HYPERLINK \l "_Toc101823012" </w:instrText>
          </w:r>
          <w:r>
            <w:fldChar w:fldCharType="separate"/>
          </w:r>
          <w:r>
            <w:rPr>
              <w:rStyle w:val="28"/>
              <w:rFonts w:asciiTheme="minorEastAsia" w:hAnsiTheme="minorEastAsia" w:eastAsiaTheme="minorEastAsia"/>
              <w:iCs/>
              <w:szCs w:val="21"/>
            </w:rPr>
            <w:t>3.4 职业病危害告知和警示标识</w:t>
          </w:r>
          <w:r>
            <w:rPr>
              <w:rFonts w:asciiTheme="minorEastAsia" w:hAnsiTheme="minorEastAsia" w:eastAsiaTheme="minorEastAsia"/>
              <w:iCs/>
              <w:szCs w:val="21"/>
            </w:rPr>
            <w:tab/>
          </w:r>
          <w:r>
            <w:rPr>
              <w:rFonts w:asciiTheme="minorEastAsia" w:hAnsiTheme="minorEastAsia" w:eastAsiaTheme="minorEastAsia"/>
              <w:iCs/>
              <w:szCs w:val="21"/>
            </w:rPr>
            <w:fldChar w:fldCharType="begin"/>
          </w:r>
          <w:r>
            <w:rPr>
              <w:rFonts w:asciiTheme="minorEastAsia" w:hAnsiTheme="minorEastAsia" w:eastAsiaTheme="minorEastAsia"/>
              <w:iCs/>
              <w:szCs w:val="21"/>
            </w:rPr>
            <w:instrText xml:space="preserve"> PAGEREF _Toc101823012 \h </w:instrText>
          </w:r>
          <w:r>
            <w:rPr>
              <w:rFonts w:asciiTheme="minorEastAsia" w:hAnsiTheme="minorEastAsia" w:eastAsiaTheme="minorEastAsia"/>
              <w:iCs/>
              <w:szCs w:val="21"/>
            </w:rPr>
            <w:fldChar w:fldCharType="separate"/>
          </w:r>
          <w:r>
            <w:rPr>
              <w:rFonts w:asciiTheme="minorEastAsia" w:hAnsiTheme="minorEastAsia" w:eastAsiaTheme="minorEastAsia"/>
              <w:iCs/>
              <w:szCs w:val="21"/>
            </w:rPr>
            <w:t>6</w:t>
          </w:r>
          <w:r>
            <w:rPr>
              <w:rFonts w:asciiTheme="minorEastAsia" w:hAnsiTheme="minorEastAsia" w:eastAsiaTheme="minorEastAsia"/>
              <w:iCs/>
              <w:szCs w:val="21"/>
            </w:rPr>
            <w:fldChar w:fldCharType="end"/>
          </w:r>
          <w:r>
            <w:rPr>
              <w:rFonts w:asciiTheme="minorEastAsia" w:hAnsiTheme="minorEastAsia" w:eastAsiaTheme="minorEastAsia"/>
              <w:iCs/>
              <w:szCs w:val="21"/>
            </w:rPr>
            <w:fldChar w:fldCharType="end"/>
          </w:r>
        </w:p>
        <w:p>
          <w:pPr>
            <w:pStyle w:val="18"/>
            <w:tabs>
              <w:tab w:val="right" w:leader="dot" w:pos="8296"/>
            </w:tabs>
            <w:spacing w:line="360" w:lineRule="auto"/>
            <w:ind w:left="0" w:leftChars="0"/>
            <w:rPr>
              <w:rFonts w:asciiTheme="minorEastAsia" w:hAnsiTheme="minorEastAsia" w:eastAsiaTheme="minorEastAsia" w:cstheme="minorBidi"/>
              <w:iCs/>
              <w:szCs w:val="21"/>
            </w:rPr>
          </w:pPr>
          <w:r>
            <w:fldChar w:fldCharType="begin"/>
          </w:r>
          <w:r>
            <w:instrText xml:space="preserve"> HYPERLINK \l "_Toc101823013" </w:instrText>
          </w:r>
          <w:r>
            <w:fldChar w:fldCharType="separate"/>
          </w:r>
          <w:r>
            <w:rPr>
              <w:rStyle w:val="28"/>
              <w:rFonts w:asciiTheme="minorEastAsia" w:hAnsiTheme="minorEastAsia" w:eastAsiaTheme="minorEastAsia"/>
              <w:iCs/>
              <w:szCs w:val="21"/>
            </w:rPr>
            <w:t>3.5 职业健康监护</w:t>
          </w:r>
          <w:r>
            <w:rPr>
              <w:rFonts w:asciiTheme="minorEastAsia" w:hAnsiTheme="minorEastAsia" w:eastAsiaTheme="minorEastAsia"/>
              <w:iCs/>
              <w:szCs w:val="21"/>
            </w:rPr>
            <w:tab/>
          </w:r>
          <w:r>
            <w:rPr>
              <w:rFonts w:asciiTheme="minorEastAsia" w:hAnsiTheme="minorEastAsia" w:eastAsiaTheme="minorEastAsia"/>
              <w:iCs/>
              <w:szCs w:val="21"/>
            </w:rPr>
            <w:fldChar w:fldCharType="begin"/>
          </w:r>
          <w:r>
            <w:rPr>
              <w:rFonts w:asciiTheme="minorEastAsia" w:hAnsiTheme="minorEastAsia" w:eastAsiaTheme="minorEastAsia"/>
              <w:iCs/>
              <w:szCs w:val="21"/>
            </w:rPr>
            <w:instrText xml:space="preserve"> PAGEREF _Toc101823013 \h </w:instrText>
          </w:r>
          <w:r>
            <w:rPr>
              <w:rFonts w:asciiTheme="minorEastAsia" w:hAnsiTheme="minorEastAsia" w:eastAsiaTheme="minorEastAsia"/>
              <w:iCs/>
              <w:szCs w:val="21"/>
            </w:rPr>
            <w:fldChar w:fldCharType="separate"/>
          </w:r>
          <w:r>
            <w:rPr>
              <w:rFonts w:asciiTheme="minorEastAsia" w:hAnsiTheme="minorEastAsia" w:eastAsiaTheme="minorEastAsia"/>
              <w:iCs/>
              <w:szCs w:val="21"/>
            </w:rPr>
            <w:t>6</w:t>
          </w:r>
          <w:r>
            <w:rPr>
              <w:rFonts w:asciiTheme="minorEastAsia" w:hAnsiTheme="minorEastAsia" w:eastAsiaTheme="minorEastAsia"/>
              <w:iCs/>
              <w:szCs w:val="21"/>
            </w:rPr>
            <w:fldChar w:fldCharType="end"/>
          </w:r>
          <w:r>
            <w:rPr>
              <w:rFonts w:asciiTheme="minorEastAsia" w:hAnsiTheme="minorEastAsia" w:eastAsiaTheme="minorEastAsia"/>
              <w:iCs/>
              <w:szCs w:val="21"/>
            </w:rPr>
            <w:fldChar w:fldCharType="end"/>
          </w:r>
        </w:p>
        <w:p>
          <w:pPr>
            <w:pStyle w:val="15"/>
            <w:ind w:firstLine="0" w:firstLineChars="0"/>
            <w:rPr>
              <w:rFonts w:asciiTheme="minorEastAsia" w:hAnsiTheme="minorEastAsia" w:eastAsiaTheme="minorEastAsia" w:cstheme="minorBidi"/>
              <w:i w:val="0"/>
              <w:iCs/>
              <w:sz w:val="21"/>
              <w:szCs w:val="21"/>
              <w:u w:val="none"/>
            </w:rPr>
          </w:pPr>
          <w:r>
            <w:fldChar w:fldCharType="begin"/>
          </w:r>
          <w:r>
            <w:instrText xml:space="preserve"> HYPERLINK \l "_Toc101823014" </w:instrText>
          </w:r>
          <w:r>
            <w:fldChar w:fldCharType="separate"/>
          </w:r>
          <w:r>
            <w:rPr>
              <w:rStyle w:val="28"/>
              <w:rFonts w:asciiTheme="minorEastAsia" w:hAnsiTheme="minorEastAsia" w:eastAsiaTheme="minorEastAsia"/>
              <w:i w:val="0"/>
              <w:iCs/>
              <w:kern w:val="0"/>
              <w:sz w:val="21"/>
              <w:szCs w:val="21"/>
            </w:rPr>
            <w:t>4  过程管理与防控</w:t>
          </w:r>
          <w:r>
            <w:rPr>
              <w:rFonts w:asciiTheme="minorEastAsia" w:hAnsiTheme="minorEastAsia" w:eastAsiaTheme="minorEastAsia"/>
              <w:i w:val="0"/>
              <w:iCs/>
              <w:sz w:val="21"/>
              <w:szCs w:val="21"/>
              <w:u w:val="none"/>
            </w:rPr>
            <w:tab/>
          </w:r>
          <w:r>
            <w:rPr>
              <w:rFonts w:asciiTheme="minorEastAsia" w:hAnsiTheme="minorEastAsia" w:eastAsiaTheme="minorEastAsia"/>
              <w:i w:val="0"/>
              <w:iCs/>
              <w:sz w:val="21"/>
              <w:szCs w:val="21"/>
              <w:u w:val="none"/>
            </w:rPr>
            <w:fldChar w:fldCharType="begin"/>
          </w:r>
          <w:r>
            <w:rPr>
              <w:rFonts w:asciiTheme="minorEastAsia" w:hAnsiTheme="minorEastAsia" w:eastAsiaTheme="minorEastAsia"/>
              <w:i w:val="0"/>
              <w:iCs/>
              <w:sz w:val="21"/>
              <w:szCs w:val="21"/>
              <w:u w:val="none"/>
            </w:rPr>
            <w:instrText xml:space="preserve"> PAGEREF _Toc101823014 \h </w:instrText>
          </w:r>
          <w:r>
            <w:rPr>
              <w:rFonts w:asciiTheme="minorEastAsia" w:hAnsiTheme="minorEastAsia" w:eastAsiaTheme="minorEastAsia"/>
              <w:i w:val="0"/>
              <w:iCs/>
              <w:sz w:val="21"/>
              <w:szCs w:val="21"/>
              <w:u w:val="none"/>
            </w:rPr>
            <w:fldChar w:fldCharType="separate"/>
          </w:r>
          <w:r>
            <w:rPr>
              <w:rFonts w:asciiTheme="minorEastAsia" w:hAnsiTheme="minorEastAsia" w:eastAsiaTheme="minorEastAsia"/>
              <w:i w:val="0"/>
              <w:iCs/>
              <w:sz w:val="21"/>
              <w:szCs w:val="21"/>
              <w:u w:val="none"/>
            </w:rPr>
            <w:t>8</w:t>
          </w:r>
          <w:r>
            <w:rPr>
              <w:rFonts w:asciiTheme="minorEastAsia" w:hAnsiTheme="minorEastAsia" w:eastAsiaTheme="minorEastAsia"/>
              <w:i w:val="0"/>
              <w:iCs/>
              <w:sz w:val="21"/>
              <w:szCs w:val="21"/>
              <w:u w:val="none"/>
            </w:rPr>
            <w:fldChar w:fldCharType="end"/>
          </w:r>
          <w:r>
            <w:rPr>
              <w:rFonts w:asciiTheme="minorEastAsia" w:hAnsiTheme="minorEastAsia" w:eastAsiaTheme="minorEastAsia"/>
              <w:i w:val="0"/>
              <w:iCs/>
              <w:sz w:val="21"/>
              <w:szCs w:val="21"/>
              <w:u w:val="none"/>
            </w:rPr>
            <w:fldChar w:fldCharType="end"/>
          </w:r>
        </w:p>
        <w:p>
          <w:pPr>
            <w:pStyle w:val="18"/>
            <w:tabs>
              <w:tab w:val="right" w:leader="dot" w:pos="8296"/>
            </w:tabs>
            <w:spacing w:line="360" w:lineRule="auto"/>
            <w:ind w:left="0" w:leftChars="0"/>
            <w:rPr>
              <w:rFonts w:asciiTheme="minorEastAsia" w:hAnsiTheme="minorEastAsia" w:eastAsiaTheme="minorEastAsia" w:cstheme="minorBidi"/>
              <w:iCs/>
              <w:szCs w:val="21"/>
            </w:rPr>
          </w:pPr>
          <w:r>
            <w:fldChar w:fldCharType="begin"/>
          </w:r>
          <w:r>
            <w:instrText xml:space="preserve"> HYPERLINK \l "_Toc101823015" </w:instrText>
          </w:r>
          <w:r>
            <w:fldChar w:fldCharType="separate"/>
          </w:r>
          <w:r>
            <w:rPr>
              <w:rStyle w:val="28"/>
              <w:rFonts w:asciiTheme="minorEastAsia" w:hAnsiTheme="minorEastAsia" w:eastAsiaTheme="minorEastAsia"/>
              <w:iCs/>
              <w:szCs w:val="21"/>
            </w:rPr>
            <w:t>4.1 施工场所管理</w:t>
          </w:r>
          <w:r>
            <w:rPr>
              <w:rFonts w:asciiTheme="minorEastAsia" w:hAnsiTheme="minorEastAsia" w:eastAsiaTheme="minorEastAsia"/>
              <w:iCs/>
              <w:szCs w:val="21"/>
            </w:rPr>
            <w:tab/>
          </w:r>
          <w:r>
            <w:rPr>
              <w:rFonts w:asciiTheme="minorEastAsia" w:hAnsiTheme="minorEastAsia" w:eastAsiaTheme="minorEastAsia"/>
              <w:iCs/>
              <w:szCs w:val="21"/>
            </w:rPr>
            <w:fldChar w:fldCharType="begin"/>
          </w:r>
          <w:r>
            <w:rPr>
              <w:rFonts w:asciiTheme="minorEastAsia" w:hAnsiTheme="minorEastAsia" w:eastAsiaTheme="minorEastAsia"/>
              <w:iCs/>
              <w:szCs w:val="21"/>
            </w:rPr>
            <w:instrText xml:space="preserve"> PAGEREF _Toc101823015 \h </w:instrText>
          </w:r>
          <w:r>
            <w:rPr>
              <w:rFonts w:asciiTheme="minorEastAsia" w:hAnsiTheme="minorEastAsia" w:eastAsiaTheme="minorEastAsia"/>
              <w:iCs/>
              <w:szCs w:val="21"/>
            </w:rPr>
            <w:fldChar w:fldCharType="separate"/>
          </w:r>
          <w:r>
            <w:rPr>
              <w:rFonts w:asciiTheme="minorEastAsia" w:hAnsiTheme="minorEastAsia" w:eastAsiaTheme="minorEastAsia"/>
              <w:iCs/>
              <w:szCs w:val="21"/>
            </w:rPr>
            <w:t>8</w:t>
          </w:r>
          <w:r>
            <w:rPr>
              <w:rFonts w:asciiTheme="minorEastAsia" w:hAnsiTheme="minorEastAsia" w:eastAsiaTheme="minorEastAsia"/>
              <w:iCs/>
              <w:szCs w:val="21"/>
            </w:rPr>
            <w:fldChar w:fldCharType="end"/>
          </w:r>
          <w:r>
            <w:rPr>
              <w:rFonts w:asciiTheme="minorEastAsia" w:hAnsiTheme="minorEastAsia" w:eastAsiaTheme="minorEastAsia"/>
              <w:iCs/>
              <w:szCs w:val="21"/>
            </w:rPr>
            <w:fldChar w:fldCharType="end"/>
          </w:r>
        </w:p>
        <w:p>
          <w:pPr>
            <w:pStyle w:val="18"/>
            <w:tabs>
              <w:tab w:val="right" w:leader="dot" w:pos="8296"/>
            </w:tabs>
            <w:spacing w:line="360" w:lineRule="auto"/>
            <w:ind w:left="0" w:leftChars="0"/>
            <w:rPr>
              <w:rFonts w:asciiTheme="minorEastAsia" w:hAnsiTheme="minorEastAsia" w:eastAsiaTheme="minorEastAsia" w:cstheme="minorBidi"/>
              <w:iCs/>
              <w:szCs w:val="21"/>
            </w:rPr>
          </w:pPr>
          <w:r>
            <w:fldChar w:fldCharType="begin"/>
          </w:r>
          <w:r>
            <w:instrText xml:space="preserve"> HYPERLINK \l "_Toc101823016" </w:instrText>
          </w:r>
          <w:r>
            <w:fldChar w:fldCharType="separate"/>
          </w:r>
          <w:r>
            <w:rPr>
              <w:rStyle w:val="28"/>
              <w:rFonts w:asciiTheme="minorEastAsia" w:hAnsiTheme="minorEastAsia" w:eastAsiaTheme="minorEastAsia"/>
              <w:iCs/>
              <w:szCs w:val="21"/>
            </w:rPr>
            <w:t>4.2 粉尘防护</w:t>
          </w:r>
          <w:r>
            <w:rPr>
              <w:rFonts w:asciiTheme="minorEastAsia" w:hAnsiTheme="minorEastAsia" w:eastAsiaTheme="minorEastAsia"/>
              <w:iCs/>
              <w:szCs w:val="21"/>
            </w:rPr>
            <w:tab/>
          </w:r>
          <w:r>
            <w:rPr>
              <w:rFonts w:asciiTheme="minorEastAsia" w:hAnsiTheme="minorEastAsia" w:eastAsiaTheme="minorEastAsia"/>
              <w:iCs/>
              <w:szCs w:val="21"/>
            </w:rPr>
            <w:fldChar w:fldCharType="begin"/>
          </w:r>
          <w:r>
            <w:rPr>
              <w:rFonts w:asciiTheme="minorEastAsia" w:hAnsiTheme="minorEastAsia" w:eastAsiaTheme="minorEastAsia"/>
              <w:iCs/>
              <w:szCs w:val="21"/>
            </w:rPr>
            <w:instrText xml:space="preserve"> PAGEREF _Toc101823016 \h </w:instrText>
          </w:r>
          <w:r>
            <w:rPr>
              <w:rFonts w:asciiTheme="minorEastAsia" w:hAnsiTheme="minorEastAsia" w:eastAsiaTheme="minorEastAsia"/>
              <w:iCs/>
              <w:szCs w:val="21"/>
            </w:rPr>
            <w:fldChar w:fldCharType="separate"/>
          </w:r>
          <w:r>
            <w:rPr>
              <w:rFonts w:asciiTheme="minorEastAsia" w:hAnsiTheme="minorEastAsia" w:eastAsiaTheme="minorEastAsia"/>
              <w:iCs/>
              <w:szCs w:val="21"/>
            </w:rPr>
            <w:t>8</w:t>
          </w:r>
          <w:r>
            <w:rPr>
              <w:rFonts w:asciiTheme="minorEastAsia" w:hAnsiTheme="minorEastAsia" w:eastAsiaTheme="minorEastAsia"/>
              <w:iCs/>
              <w:szCs w:val="21"/>
            </w:rPr>
            <w:fldChar w:fldCharType="end"/>
          </w:r>
          <w:r>
            <w:rPr>
              <w:rFonts w:asciiTheme="minorEastAsia" w:hAnsiTheme="minorEastAsia" w:eastAsiaTheme="minorEastAsia"/>
              <w:iCs/>
              <w:szCs w:val="21"/>
            </w:rPr>
            <w:fldChar w:fldCharType="end"/>
          </w:r>
        </w:p>
        <w:p>
          <w:pPr>
            <w:pStyle w:val="18"/>
            <w:tabs>
              <w:tab w:val="right" w:leader="dot" w:pos="8296"/>
            </w:tabs>
            <w:spacing w:line="360" w:lineRule="auto"/>
            <w:ind w:left="0" w:leftChars="0"/>
            <w:rPr>
              <w:rFonts w:asciiTheme="minorEastAsia" w:hAnsiTheme="minorEastAsia" w:eastAsiaTheme="minorEastAsia" w:cstheme="minorBidi"/>
              <w:iCs/>
              <w:szCs w:val="21"/>
            </w:rPr>
          </w:pPr>
          <w:r>
            <w:fldChar w:fldCharType="begin"/>
          </w:r>
          <w:r>
            <w:instrText xml:space="preserve"> HYPERLINK \l "_Toc101823017" </w:instrText>
          </w:r>
          <w:r>
            <w:fldChar w:fldCharType="separate"/>
          </w:r>
          <w:r>
            <w:rPr>
              <w:rStyle w:val="28"/>
              <w:rFonts w:asciiTheme="minorEastAsia" w:hAnsiTheme="minorEastAsia" w:eastAsiaTheme="minorEastAsia"/>
              <w:iCs/>
              <w:szCs w:val="21"/>
            </w:rPr>
            <w:t>4.3 化学毒物防护</w:t>
          </w:r>
          <w:r>
            <w:rPr>
              <w:rFonts w:asciiTheme="minorEastAsia" w:hAnsiTheme="minorEastAsia" w:eastAsiaTheme="minorEastAsia"/>
              <w:iCs/>
              <w:szCs w:val="21"/>
            </w:rPr>
            <w:tab/>
          </w:r>
          <w:r>
            <w:rPr>
              <w:rFonts w:asciiTheme="minorEastAsia" w:hAnsiTheme="minorEastAsia" w:eastAsiaTheme="minorEastAsia"/>
              <w:iCs/>
              <w:szCs w:val="21"/>
            </w:rPr>
            <w:fldChar w:fldCharType="begin"/>
          </w:r>
          <w:r>
            <w:rPr>
              <w:rFonts w:asciiTheme="minorEastAsia" w:hAnsiTheme="minorEastAsia" w:eastAsiaTheme="minorEastAsia"/>
              <w:iCs/>
              <w:szCs w:val="21"/>
            </w:rPr>
            <w:instrText xml:space="preserve"> PAGEREF _Toc101823017 \h </w:instrText>
          </w:r>
          <w:r>
            <w:rPr>
              <w:rFonts w:asciiTheme="minorEastAsia" w:hAnsiTheme="minorEastAsia" w:eastAsiaTheme="minorEastAsia"/>
              <w:iCs/>
              <w:szCs w:val="21"/>
            </w:rPr>
            <w:fldChar w:fldCharType="separate"/>
          </w:r>
          <w:r>
            <w:rPr>
              <w:rFonts w:asciiTheme="minorEastAsia" w:hAnsiTheme="minorEastAsia" w:eastAsiaTheme="minorEastAsia"/>
              <w:iCs/>
              <w:szCs w:val="21"/>
            </w:rPr>
            <w:t>9</w:t>
          </w:r>
          <w:r>
            <w:rPr>
              <w:rFonts w:asciiTheme="minorEastAsia" w:hAnsiTheme="minorEastAsia" w:eastAsiaTheme="minorEastAsia"/>
              <w:iCs/>
              <w:szCs w:val="21"/>
            </w:rPr>
            <w:fldChar w:fldCharType="end"/>
          </w:r>
          <w:r>
            <w:rPr>
              <w:rFonts w:asciiTheme="minorEastAsia" w:hAnsiTheme="minorEastAsia" w:eastAsiaTheme="minorEastAsia"/>
              <w:iCs/>
              <w:szCs w:val="21"/>
            </w:rPr>
            <w:fldChar w:fldCharType="end"/>
          </w:r>
        </w:p>
        <w:p>
          <w:pPr>
            <w:pStyle w:val="18"/>
            <w:tabs>
              <w:tab w:val="right" w:leader="dot" w:pos="8296"/>
            </w:tabs>
            <w:spacing w:line="360" w:lineRule="auto"/>
            <w:ind w:left="0" w:leftChars="0"/>
            <w:rPr>
              <w:rFonts w:asciiTheme="minorEastAsia" w:hAnsiTheme="minorEastAsia" w:eastAsiaTheme="minorEastAsia" w:cstheme="minorBidi"/>
              <w:iCs/>
              <w:szCs w:val="21"/>
            </w:rPr>
          </w:pPr>
          <w:r>
            <w:fldChar w:fldCharType="begin"/>
          </w:r>
          <w:r>
            <w:instrText xml:space="preserve"> HYPERLINK \l "_Toc101823018" </w:instrText>
          </w:r>
          <w:r>
            <w:fldChar w:fldCharType="separate"/>
          </w:r>
          <w:r>
            <w:rPr>
              <w:rStyle w:val="28"/>
              <w:rFonts w:asciiTheme="minorEastAsia" w:hAnsiTheme="minorEastAsia" w:eastAsiaTheme="minorEastAsia"/>
              <w:iCs/>
              <w:szCs w:val="21"/>
            </w:rPr>
            <w:t>4.4 噪声防护</w:t>
          </w:r>
          <w:r>
            <w:rPr>
              <w:rFonts w:asciiTheme="minorEastAsia" w:hAnsiTheme="minorEastAsia" w:eastAsiaTheme="minorEastAsia"/>
              <w:iCs/>
              <w:szCs w:val="21"/>
            </w:rPr>
            <w:tab/>
          </w:r>
          <w:r>
            <w:rPr>
              <w:rFonts w:asciiTheme="minorEastAsia" w:hAnsiTheme="minorEastAsia" w:eastAsiaTheme="minorEastAsia"/>
              <w:iCs/>
              <w:szCs w:val="21"/>
            </w:rPr>
            <w:fldChar w:fldCharType="begin"/>
          </w:r>
          <w:r>
            <w:rPr>
              <w:rFonts w:asciiTheme="minorEastAsia" w:hAnsiTheme="minorEastAsia" w:eastAsiaTheme="minorEastAsia"/>
              <w:iCs/>
              <w:szCs w:val="21"/>
            </w:rPr>
            <w:instrText xml:space="preserve"> PAGEREF _Toc101823018 \h </w:instrText>
          </w:r>
          <w:r>
            <w:rPr>
              <w:rFonts w:asciiTheme="minorEastAsia" w:hAnsiTheme="minorEastAsia" w:eastAsiaTheme="minorEastAsia"/>
              <w:iCs/>
              <w:szCs w:val="21"/>
            </w:rPr>
            <w:fldChar w:fldCharType="separate"/>
          </w:r>
          <w:r>
            <w:rPr>
              <w:rFonts w:asciiTheme="minorEastAsia" w:hAnsiTheme="minorEastAsia" w:eastAsiaTheme="minorEastAsia"/>
              <w:iCs/>
              <w:szCs w:val="21"/>
            </w:rPr>
            <w:t>11</w:t>
          </w:r>
          <w:r>
            <w:rPr>
              <w:rFonts w:asciiTheme="minorEastAsia" w:hAnsiTheme="minorEastAsia" w:eastAsiaTheme="minorEastAsia"/>
              <w:iCs/>
              <w:szCs w:val="21"/>
            </w:rPr>
            <w:fldChar w:fldCharType="end"/>
          </w:r>
          <w:r>
            <w:rPr>
              <w:rFonts w:asciiTheme="minorEastAsia" w:hAnsiTheme="minorEastAsia" w:eastAsiaTheme="minorEastAsia"/>
              <w:iCs/>
              <w:szCs w:val="21"/>
            </w:rPr>
            <w:fldChar w:fldCharType="end"/>
          </w:r>
        </w:p>
        <w:p>
          <w:pPr>
            <w:pStyle w:val="18"/>
            <w:tabs>
              <w:tab w:val="right" w:leader="dot" w:pos="8296"/>
            </w:tabs>
            <w:spacing w:line="360" w:lineRule="auto"/>
            <w:ind w:left="0" w:leftChars="0"/>
            <w:rPr>
              <w:rFonts w:asciiTheme="minorEastAsia" w:hAnsiTheme="minorEastAsia" w:eastAsiaTheme="minorEastAsia" w:cstheme="minorBidi"/>
              <w:iCs/>
              <w:szCs w:val="21"/>
            </w:rPr>
          </w:pPr>
          <w:r>
            <w:fldChar w:fldCharType="begin"/>
          </w:r>
          <w:r>
            <w:instrText xml:space="preserve"> HYPERLINK \l "_Toc101823019" </w:instrText>
          </w:r>
          <w:r>
            <w:fldChar w:fldCharType="separate"/>
          </w:r>
          <w:r>
            <w:rPr>
              <w:rStyle w:val="28"/>
              <w:rFonts w:asciiTheme="minorEastAsia" w:hAnsiTheme="minorEastAsia" w:eastAsiaTheme="minorEastAsia"/>
              <w:iCs/>
              <w:szCs w:val="21"/>
            </w:rPr>
            <w:t>4.5 高温防护</w:t>
          </w:r>
          <w:r>
            <w:rPr>
              <w:rFonts w:asciiTheme="minorEastAsia" w:hAnsiTheme="minorEastAsia" w:eastAsiaTheme="minorEastAsia"/>
              <w:iCs/>
              <w:szCs w:val="21"/>
            </w:rPr>
            <w:tab/>
          </w:r>
          <w:r>
            <w:rPr>
              <w:rFonts w:asciiTheme="minorEastAsia" w:hAnsiTheme="minorEastAsia" w:eastAsiaTheme="minorEastAsia"/>
              <w:iCs/>
              <w:szCs w:val="21"/>
            </w:rPr>
            <w:fldChar w:fldCharType="begin"/>
          </w:r>
          <w:r>
            <w:rPr>
              <w:rFonts w:asciiTheme="minorEastAsia" w:hAnsiTheme="minorEastAsia" w:eastAsiaTheme="minorEastAsia"/>
              <w:iCs/>
              <w:szCs w:val="21"/>
            </w:rPr>
            <w:instrText xml:space="preserve"> PAGEREF _Toc101823019 \h </w:instrText>
          </w:r>
          <w:r>
            <w:rPr>
              <w:rFonts w:asciiTheme="minorEastAsia" w:hAnsiTheme="minorEastAsia" w:eastAsiaTheme="minorEastAsia"/>
              <w:iCs/>
              <w:szCs w:val="21"/>
            </w:rPr>
            <w:fldChar w:fldCharType="separate"/>
          </w:r>
          <w:r>
            <w:rPr>
              <w:rFonts w:asciiTheme="minorEastAsia" w:hAnsiTheme="minorEastAsia" w:eastAsiaTheme="minorEastAsia"/>
              <w:iCs/>
              <w:szCs w:val="21"/>
            </w:rPr>
            <w:t>11</w:t>
          </w:r>
          <w:r>
            <w:rPr>
              <w:rFonts w:asciiTheme="minorEastAsia" w:hAnsiTheme="minorEastAsia" w:eastAsiaTheme="minorEastAsia"/>
              <w:iCs/>
              <w:szCs w:val="21"/>
            </w:rPr>
            <w:fldChar w:fldCharType="end"/>
          </w:r>
          <w:r>
            <w:rPr>
              <w:rFonts w:asciiTheme="minorEastAsia" w:hAnsiTheme="minorEastAsia" w:eastAsiaTheme="minorEastAsia"/>
              <w:iCs/>
              <w:szCs w:val="21"/>
            </w:rPr>
            <w:fldChar w:fldCharType="end"/>
          </w:r>
        </w:p>
        <w:p>
          <w:pPr>
            <w:pStyle w:val="18"/>
            <w:tabs>
              <w:tab w:val="right" w:leader="dot" w:pos="8296"/>
            </w:tabs>
            <w:spacing w:line="360" w:lineRule="auto"/>
            <w:ind w:left="0" w:leftChars="0"/>
            <w:rPr>
              <w:rFonts w:asciiTheme="minorEastAsia" w:hAnsiTheme="minorEastAsia" w:eastAsiaTheme="minorEastAsia" w:cstheme="minorBidi"/>
              <w:iCs/>
              <w:szCs w:val="21"/>
            </w:rPr>
          </w:pPr>
          <w:r>
            <w:fldChar w:fldCharType="begin"/>
          </w:r>
          <w:r>
            <w:instrText xml:space="preserve"> HYPERLINK \l "_Toc101823020" </w:instrText>
          </w:r>
          <w:r>
            <w:fldChar w:fldCharType="separate"/>
          </w:r>
          <w:r>
            <w:rPr>
              <w:rStyle w:val="28"/>
              <w:rFonts w:asciiTheme="minorEastAsia" w:hAnsiTheme="minorEastAsia" w:eastAsiaTheme="minorEastAsia"/>
              <w:iCs/>
              <w:szCs w:val="21"/>
            </w:rPr>
            <w:t>4.6 其他职业病危害防护</w:t>
          </w:r>
          <w:r>
            <w:rPr>
              <w:rFonts w:asciiTheme="minorEastAsia" w:hAnsiTheme="minorEastAsia" w:eastAsiaTheme="minorEastAsia"/>
              <w:iCs/>
              <w:szCs w:val="21"/>
            </w:rPr>
            <w:tab/>
          </w:r>
          <w:r>
            <w:rPr>
              <w:rFonts w:asciiTheme="minorEastAsia" w:hAnsiTheme="minorEastAsia" w:eastAsiaTheme="minorEastAsia"/>
              <w:iCs/>
              <w:szCs w:val="21"/>
            </w:rPr>
            <w:fldChar w:fldCharType="begin"/>
          </w:r>
          <w:r>
            <w:rPr>
              <w:rFonts w:asciiTheme="minorEastAsia" w:hAnsiTheme="minorEastAsia" w:eastAsiaTheme="minorEastAsia"/>
              <w:iCs/>
              <w:szCs w:val="21"/>
            </w:rPr>
            <w:instrText xml:space="preserve"> PAGEREF _Toc101823020 \h </w:instrText>
          </w:r>
          <w:r>
            <w:rPr>
              <w:rFonts w:asciiTheme="minorEastAsia" w:hAnsiTheme="minorEastAsia" w:eastAsiaTheme="minorEastAsia"/>
              <w:iCs/>
              <w:szCs w:val="21"/>
            </w:rPr>
            <w:fldChar w:fldCharType="separate"/>
          </w:r>
          <w:r>
            <w:rPr>
              <w:rFonts w:asciiTheme="minorEastAsia" w:hAnsiTheme="minorEastAsia" w:eastAsiaTheme="minorEastAsia"/>
              <w:iCs/>
              <w:szCs w:val="21"/>
            </w:rPr>
            <w:t>12</w:t>
          </w:r>
          <w:r>
            <w:rPr>
              <w:rFonts w:asciiTheme="minorEastAsia" w:hAnsiTheme="minorEastAsia" w:eastAsiaTheme="minorEastAsia"/>
              <w:iCs/>
              <w:szCs w:val="21"/>
            </w:rPr>
            <w:fldChar w:fldCharType="end"/>
          </w:r>
          <w:r>
            <w:rPr>
              <w:rFonts w:asciiTheme="minorEastAsia" w:hAnsiTheme="minorEastAsia" w:eastAsiaTheme="minorEastAsia"/>
              <w:iCs/>
              <w:szCs w:val="21"/>
            </w:rPr>
            <w:fldChar w:fldCharType="end"/>
          </w:r>
        </w:p>
        <w:p>
          <w:pPr>
            <w:pStyle w:val="15"/>
            <w:ind w:firstLine="0" w:firstLineChars="0"/>
            <w:rPr>
              <w:rFonts w:hint="eastAsia" w:asciiTheme="minorEastAsia" w:hAnsiTheme="minorEastAsia" w:eastAsiaTheme="minorEastAsia" w:cstheme="minorBidi"/>
              <w:i w:val="0"/>
              <w:iCs/>
              <w:sz w:val="21"/>
              <w:szCs w:val="21"/>
              <w:u w:val="none"/>
              <w:lang w:val="en-US" w:eastAsia="zh-CN"/>
            </w:rPr>
          </w:pPr>
          <w:r>
            <w:fldChar w:fldCharType="begin"/>
          </w:r>
          <w:r>
            <w:instrText xml:space="preserve"> HYPERLINK \l "_Toc101823021" </w:instrText>
          </w:r>
          <w:r>
            <w:fldChar w:fldCharType="separate"/>
          </w:r>
          <w:r>
            <w:rPr>
              <w:rStyle w:val="28"/>
              <w:rFonts w:asciiTheme="minorEastAsia" w:hAnsiTheme="minorEastAsia" w:eastAsiaTheme="minorEastAsia"/>
              <w:i w:val="0"/>
              <w:iCs/>
              <w:kern w:val="0"/>
              <w:sz w:val="21"/>
              <w:szCs w:val="21"/>
            </w:rPr>
            <w:t>5 应急救援措施及设施</w:t>
          </w:r>
          <w:r>
            <w:rPr>
              <w:rFonts w:asciiTheme="minorEastAsia" w:hAnsiTheme="minorEastAsia" w:eastAsiaTheme="minorEastAsia"/>
              <w:i w:val="0"/>
              <w:iCs/>
              <w:sz w:val="21"/>
              <w:szCs w:val="21"/>
              <w:u w:val="none"/>
            </w:rPr>
            <w:tab/>
          </w:r>
          <w:r>
            <w:rPr>
              <w:rFonts w:hint="eastAsia" w:asciiTheme="minorEastAsia" w:hAnsiTheme="minorEastAsia" w:eastAsiaTheme="minorEastAsia"/>
              <w:i w:val="0"/>
              <w:iCs/>
              <w:sz w:val="21"/>
              <w:szCs w:val="21"/>
              <w:u w:val="none"/>
              <w:lang w:val="en-US" w:eastAsia="zh-CN"/>
            </w:rPr>
            <w:t>1</w:t>
          </w:r>
          <w:r>
            <w:rPr>
              <w:rFonts w:asciiTheme="minorEastAsia" w:hAnsiTheme="minorEastAsia" w:eastAsiaTheme="minorEastAsia"/>
              <w:i w:val="0"/>
              <w:iCs/>
              <w:sz w:val="21"/>
              <w:szCs w:val="21"/>
              <w:u w:val="none"/>
            </w:rPr>
            <w:fldChar w:fldCharType="end"/>
          </w:r>
          <w:r>
            <w:rPr>
              <w:rFonts w:hint="eastAsia" w:asciiTheme="minorEastAsia" w:hAnsiTheme="minorEastAsia" w:eastAsiaTheme="minorEastAsia"/>
              <w:i w:val="0"/>
              <w:iCs/>
              <w:sz w:val="21"/>
              <w:szCs w:val="21"/>
              <w:u w:val="none"/>
              <w:lang w:val="en-US" w:eastAsia="zh-CN"/>
            </w:rPr>
            <w:t>4</w:t>
          </w:r>
        </w:p>
        <w:p>
          <w:pPr>
            <w:pStyle w:val="15"/>
            <w:ind w:firstLine="0" w:firstLineChars="0"/>
            <w:rPr>
              <w:rFonts w:hint="eastAsia" w:asciiTheme="minorEastAsia" w:hAnsiTheme="minorEastAsia" w:eastAsiaTheme="minorEastAsia" w:cstheme="minorBidi"/>
              <w:i w:val="0"/>
              <w:iCs/>
              <w:sz w:val="21"/>
              <w:szCs w:val="21"/>
              <w:u w:val="none"/>
              <w:lang w:val="en-US" w:eastAsia="zh-CN"/>
            </w:rPr>
          </w:pPr>
          <w:r>
            <w:fldChar w:fldCharType="begin"/>
          </w:r>
          <w:r>
            <w:instrText xml:space="preserve"> HYPERLINK \l "_Toc101823022" </w:instrText>
          </w:r>
          <w:r>
            <w:fldChar w:fldCharType="separate"/>
          </w:r>
          <w:r>
            <w:rPr>
              <w:rStyle w:val="28"/>
              <w:rFonts w:asciiTheme="minorEastAsia" w:hAnsiTheme="minorEastAsia" w:eastAsiaTheme="minorEastAsia"/>
              <w:i w:val="0"/>
              <w:iCs/>
              <w:kern w:val="0"/>
              <w:sz w:val="21"/>
              <w:szCs w:val="21"/>
            </w:rPr>
            <w:t>6 劳动防护用品</w:t>
          </w:r>
          <w:r>
            <w:rPr>
              <w:rFonts w:asciiTheme="minorEastAsia" w:hAnsiTheme="minorEastAsia" w:eastAsiaTheme="minorEastAsia"/>
              <w:i w:val="0"/>
              <w:iCs/>
              <w:sz w:val="21"/>
              <w:szCs w:val="21"/>
              <w:u w:val="none"/>
            </w:rPr>
            <w:tab/>
          </w:r>
          <w:r>
            <w:rPr>
              <w:rFonts w:hint="eastAsia" w:asciiTheme="minorEastAsia" w:hAnsiTheme="minorEastAsia" w:eastAsiaTheme="minorEastAsia"/>
              <w:i w:val="0"/>
              <w:iCs/>
              <w:sz w:val="21"/>
              <w:szCs w:val="21"/>
              <w:u w:val="none"/>
              <w:lang w:val="en-US" w:eastAsia="zh-CN"/>
            </w:rPr>
            <w:t>1</w:t>
          </w:r>
          <w:r>
            <w:rPr>
              <w:rFonts w:asciiTheme="minorEastAsia" w:hAnsiTheme="minorEastAsia" w:eastAsiaTheme="minorEastAsia"/>
              <w:i w:val="0"/>
              <w:iCs/>
              <w:sz w:val="21"/>
              <w:szCs w:val="21"/>
              <w:u w:val="none"/>
            </w:rPr>
            <w:fldChar w:fldCharType="end"/>
          </w:r>
          <w:r>
            <w:rPr>
              <w:rFonts w:hint="eastAsia" w:asciiTheme="minorEastAsia" w:hAnsiTheme="minorEastAsia" w:eastAsiaTheme="minorEastAsia"/>
              <w:i w:val="0"/>
              <w:iCs/>
              <w:sz w:val="21"/>
              <w:szCs w:val="21"/>
              <w:u w:val="none"/>
              <w:lang w:val="en-US" w:eastAsia="zh-CN"/>
            </w:rPr>
            <w:t>5</w:t>
          </w:r>
        </w:p>
        <w:p>
          <w:pPr>
            <w:pStyle w:val="15"/>
            <w:ind w:firstLine="0" w:firstLineChars="0"/>
            <w:rPr>
              <w:rFonts w:hint="eastAsia" w:asciiTheme="minorEastAsia" w:hAnsiTheme="minorEastAsia" w:eastAsiaTheme="minorEastAsia" w:cstheme="minorBidi"/>
              <w:i w:val="0"/>
              <w:iCs/>
              <w:sz w:val="21"/>
              <w:szCs w:val="21"/>
              <w:u w:val="none"/>
              <w:lang w:val="en-US" w:eastAsia="zh-CN"/>
            </w:rPr>
          </w:pPr>
          <w:r>
            <w:fldChar w:fldCharType="begin"/>
          </w:r>
          <w:r>
            <w:instrText xml:space="preserve"> HYPERLINK \l "_Toc101823023" </w:instrText>
          </w:r>
          <w:r>
            <w:fldChar w:fldCharType="separate"/>
          </w:r>
          <w:r>
            <w:rPr>
              <w:rStyle w:val="28"/>
              <w:rFonts w:asciiTheme="minorEastAsia" w:hAnsiTheme="minorEastAsia" w:eastAsiaTheme="minorEastAsia"/>
              <w:i w:val="0"/>
              <w:iCs/>
              <w:kern w:val="0"/>
              <w:sz w:val="21"/>
              <w:szCs w:val="21"/>
            </w:rPr>
            <w:t>附录A 工程建设有关单位的主要职业卫生管理责任对照表</w:t>
          </w:r>
          <w:r>
            <w:rPr>
              <w:rFonts w:asciiTheme="minorEastAsia" w:hAnsiTheme="minorEastAsia" w:eastAsiaTheme="minorEastAsia"/>
              <w:i w:val="0"/>
              <w:iCs/>
              <w:sz w:val="21"/>
              <w:szCs w:val="21"/>
              <w:u w:val="none"/>
            </w:rPr>
            <w:tab/>
          </w:r>
          <w:r>
            <w:rPr>
              <w:rFonts w:hint="eastAsia" w:asciiTheme="minorEastAsia" w:hAnsiTheme="minorEastAsia" w:eastAsiaTheme="minorEastAsia"/>
              <w:i w:val="0"/>
              <w:iCs/>
              <w:sz w:val="21"/>
              <w:szCs w:val="21"/>
              <w:u w:val="none"/>
              <w:lang w:val="en-US" w:eastAsia="zh-CN"/>
            </w:rPr>
            <w:t>1</w:t>
          </w:r>
          <w:r>
            <w:rPr>
              <w:rFonts w:asciiTheme="minorEastAsia" w:hAnsiTheme="minorEastAsia" w:eastAsiaTheme="minorEastAsia"/>
              <w:i w:val="0"/>
              <w:iCs/>
              <w:sz w:val="21"/>
              <w:szCs w:val="21"/>
              <w:u w:val="none"/>
            </w:rPr>
            <w:fldChar w:fldCharType="end"/>
          </w:r>
          <w:r>
            <w:rPr>
              <w:rFonts w:hint="eastAsia" w:asciiTheme="minorEastAsia" w:hAnsiTheme="minorEastAsia" w:eastAsiaTheme="minorEastAsia"/>
              <w:i w:val="0"/>
              <w:iCs/>
              <w:sz w:val="21"/>
              <w:szCs w:val="21"/>
              <w:u w:val="none"/>
              <w:lang w:val="en-US" w:eastAsia="zh-CN"/>
            </w:rPr>
            <w:t>6</w:t>
          </w:r>
        </w:p>
        <w:p>
          <w:pPr>
            <w:pStyle w:val="15"/>
            <w:ind w:firstLine="0" w:firstLineChars="0"/>
            <w:rPr>
              <w:rFonts w:hint="eastAsia" w:asciiTheme="minorEastAsia" w:hAnsiTheme="minorEastAsia" w:eastAsiaTheme="minorEastAsia" w:cstheme="minorBidi"/>
              <w:i w:val="0"/>
              <w:iCs/>
              <w:sz w:val="21"/>
              <w:szCs w:val="21"/>
              <w:u w:val="none"/>
              <w:lang w:val="en-US" w:eastAsia="zh-CN"/>
            </w:rPr>
          </w:pPr>
          <w:r>
            <w:fldChar w:fldCharType="begin"/>
          </w:r>
          <w:r>
            <w:instrText xml:space="preserve"> HYPERLINK \l "_Toc101823024" </w:instrText>
          </w:r>
          <w:r>
            <w:fldChar w:fldCharType="separate"/>
          </w:r>
          <w:r>
            <w:rPr>
              <w:rStyle w:val="28"/>
              <w:rFonts w:asciiTheme="minorEastAsia" w:hAnsiTheme="minorEastAsia" w:eastAsiaTheme="minorEastAsia"/>
              <w:i w:val="0"/>
              <w:iCs/>
              <w:kern w:val="0"/>
              <w:sz w:val="21"/>
              <w:szCs w:val="21"/>
            </w:rPr>
            <w:t>附录B 建筑施工现场常见职业病危害防控措施</w:t>
          </w:r>
          <w:r>
            <w:rPr>
              <w:rFonts w:asciiTheme="minorEastAsia" w:hAnsiTheme="minorEastAsia" w:eastAsiaTheme="minorEastAsia"/>
              <w:i w:val="0"/>
              <w:iCs/>
              <w:sz w:val="21"/>
              <w:szCs w:val="21"/>
              <w:u w:val="none"/>
            </w:rPr>
            <w:tab/>
          </w:r>
          <w:r>
            <w:rPr>
              <w:rFonts w:hint="eastAsia" w:asciiTheme="minorEastAsia" w:hAnsiTheme="minorEastAsia" w:eastAsiaTheme="minorEastAsia"/>
              <w:i w:val="0"/>
              <w:iCs/>
              <w:sz w:val="21"/>
              <w:szCs w:val="21"/>
              <w:u w:val="none"/>
              <w:lang w:val="en-US" w:eastAsia="zh-CN"/>
            </w:rPr>
            <w:t>1</w:t>
          </w:r>
          <w:r>
            <w:rPr>
              <w:rFonts w:asciiTheme="minorEastAsia" w:hAnsiTheme="minorEastAsia" w:eastAsiaTheme="minorEastAsia"/>
              <w:i w:val="0"/>
              <w:iCs/>
              <w:sz w:val="21"/>
              <w:szCs w:val="21"/>
              <w:u w:val="none"/>
            </w:rPr>
            <w:fldChar w:fldCharType="end"/>
          </w:r>
          <w:r>
            <w:rPr>
              <w:rFonts w:hint="eastAsia" w:asciiTheme="minorEastAsia" w:hAnsiTheme="minorEastAsia" w:eastAsiaTheme="minorEastAsia"/>
              <w:i w:val="0"/>
              <w:iCs/>
              <w:sz w:val="21"/>
              <w:szCs w:val="21"/>
              <w:u w:val="none"/>
              <w:lang w:val="en-US" w:eastAsia="zh-CN"/>
            </w:rPr>
            <w:t>7</w:t>
          </w:r>
        </w:p>
        <w:p>
          <w:pPr>
            <w:pStyle w:val="15"/>
            <w:ind w:firstLine="0" w:firstLineChars="0"/>
            <w:rPr>
              <w:rFonts w:hint="eastAsia" w:asciiTheme="minorEastAsia" w:hAnsiTheme="minorEastAsia" w:eastAsiaTheme="minorEastAsia" w:cstheme="minorBidi"/>
              <w:i w:val="0"/>
              <w:iCs/>
              <w:sz w:val="21"/>
              <w:szCs w:val="21"/>
              <w:u w:val="none"/>
              <w:lang w:val="en-US" w:eastAsia="zh-CN"/>
            </w:rPr>
          </w:pPr>
          <w:r>
            <w:fldChar w:fldCharType="begin"/>
          </w:r>
          <w:r>
            <w:instrText xml:space="preserve"> HYPERLINK \l "_Toc101823025" </w:instrText>
          </w:r>
          <w:r>
            <w:fldChar w:fldCharType="separate"/>
          </w:r>
          <w:r>
            <w:rPr>
              <w:rStyle w:val="28"/>
              <w:rFonts w:asciiTheme="minorEastAsia" w:hAnsiTheme="minorEastAsia" w:eastAsiaTheme="minorEastAsia"/>
              <w:i w:val="0"/>
              <w:iCs/>
              <w:kern w:val="0"/>
              <w:sz w:val="21"/>
              <w:szCs w:val="21"/>
            </w:rPr>
            <w:t>附录C 建筑施工主要职业健康体检项目、周期</w:t>
          </w:r>
          <w:r>
            <w:rPr>
              <w:rFonts w:asciiTheme="minorEastAsia" w:hAnsiTheme="minorEastAsia" w:eastAsiaTheme="minorEastAsia"/>
              <w:i w:val="0"/>
              <w:iCs/>
              <w:sz w:val="21"/>
              <w:szCs w:val="21"/>
              <w:u w:val="none"/>
            </w:rPr>
            <w:tab/>
          </w:r>
          <w:r>
            <w:rPr>
              <w:rFonts w:hint="eastAsia" w:asciiTheme="minorEastAsia" w:hAnsiTheme="minorEastAsia" w:eastAsiaTheme="minorEastAsia"/>
              <w:i w:val="0"/>
              <w:iCs/>
              <w:sz w:val="21"/>
              <w:szCs w:val="21"/>
              <w:u w:val="none"/>
              <w:lang w:val="en-US" w:eastAsia="zh-CN"/>
            </w:rPr>
            <w:t>2</w:t>
          </w:r>
          <w:r>
            <w:rPr>
              <w:rFonts w:asciiTheme="minorEastAsia" w:hAnsiTheme="minorEastAsia" w:eastAsiaTheme="minorEastAsia"/>
              <w:i w:val="0"/>
              <w:iCs/>
              <w:sz w:val="21"/>
              <w:szCs w:val="21"/>
              <w:u w:val="none"/>
            </w:rPr>
            <w:fldChar w:fldCharType="end"/>
          </w:r>
          <w:r>
            <w:rPr>
              <w:rFonts w:hint="eastAsia" w:asciiTheme="minorEastAsia" w:hAnsiTheme="minorEastAsia" w:eastAsiaTheme="minorEastAsia"/>
              <w:i w:val="0"/>
              <w:iCs/>
              <w:sz w:val="21"/>
              <w:szCs w:val="21"/>
              <w:u w:val="none"/>
              <w:lang w:val="en-US" w:eastAsia="zh-CN"/>
            </w:rPr>
            <w:t>3</w:t>
          </w:r>
        </w:p>
        <w:p>
          <w:pPr>
            <w:pStyle w:val="15"/>
            <w:ind w:firstLine="0" w:firstLineChars="0"/>
            <w:rPr>
              <w:rFonts w:hint="eastAsia" w:asciiTheme="minorEastAsia" w:hAnsiTheme="minorEastAsia" w:eastAsiaTheme="minorEastAsia" w:cstheme="minorBidi"/>
              <w:i w:val="0"/>
              <w:iCs/>
              <w:sz w:val="21"/>
              <w:szCs w:val="21"/>
              <w:u w:val="none"/>
              <w:lang w:val="en-US" w:eastAsia="zh-CN"/>
            </w:rPr>
          </w:pPr>
          <w:r>
            <w:fldChar w:fldCharType="begin"/>
          </w:r>
          <w:r>
            <w:instrText xml:space="preserve"> HYPERLINK \l "_Toc101823026" </w:instrText>
          </w:r>
          <w:r>
            <w:fldChar w:fldCharType="separate"/>
          </w:r>
          <w:r>
            <w:rPr>
              <w:rStyle w:val="28"/>
              <w:rFonts w:asciiTheme="minorEastAsia" w:hAnsiTheme="minorEastAsia" w:eastAsiaTheme="minorEastAsia"/>
              <w:i w:val="0"/>
              <w:iCs/>
              <w:kern w:val="0"/>
              <w:sz w:val="21"/>
              <w:szCs w:val="21"/>
            </w:rPr>
            <w:t>附录D 建筑施工现场常用呼吸器和护听器的选用</w:t>
          </w:r>
          <w:r>
            <w:rPr>
              <w:rFonts w:asciiTheme="minorEastAsia" w:hAnsiTheme="minorEastAsia" w:eastAsiaTheme="minorEastAsia"/>
              <w:i w:val="0"/>
              <w:iCs/>
              <w:sz w:val="21"/>
              <w:szCs w:val="21"/>
              <w:u w:val="none"/>
            </w:rPr>
            <w:tab/>
          </w:r>
          <w:r>
            <w:rPr>
              <w:rFonts w:hint="eastAsia" w:asciiTheme="minorEastAsia" w:hAnsiTheme="minorEastAsia" w:eastAsiaTheme="minorEastAsia"/>
              <w:i w:val="0"/>
              <w:iCs/>
              <w:sz w:val="21"/>
              <w:szCs w:val="21"/>
              <w:u w:val="none"/>
              <w:lang w:val="en-US" w:eastAsia="zh-CN"/>
            </w:rPr>
            <w:t>2</w:t>
          </w:r>
          <w:r>
            <w:rPr>
              <w:rFonts w:asciiTheme="minorEastAsia" w:hAnsiTheme="minorEastAsia" w:eastAsiaTheme="minorEastAsia"/>
              <w:i w:val="0"/>
              <w:iCs/>
              <w:sz w:val="21"/>
              <w:szCs w:val="21"/>
              <w:u w:val="none"/>
            </w:rPr>
            <w:fldChar w:fldCharType="end"/>
          </w:r>
          <w:r>
            <w:rPr>
              <w:rFonts w:hint="eastAsia" w:asciiTheme="minorEastAsia" w:hAnsiTheme="minorEastAsia" w:eastAsiaTheme="minorEastAsia"/>
              <w:i w:val="0"/>
              <w:iCs/>
              <w:sz w:val="21"/>
              <w:szCs w:val="21"/>
              <w:u w:val="none"/>
              <w:lang w:val="en-US" w:eastAsia="zh-CN"/>
            </w:rPr>
            <w:t>8</w:t>
          </w:r>
        </w:p>
        <w:p>
          <w:pPr>
            <w:pStyle w:val="15"/>
            <w:ind w:firstLine="0" w:firstLineChars="0"/>
            <w:rPr>
              <w:rFonts w:hint="eastAsia" w:asciiTheme="minorEastAsia" w:hAnsiTheme="minorEastAsia" w:eastAsiaTheme="minorEastAsia" w:cstheme="minorBidi"/>
              <w:i w:val="0"/>
              <w:iCs/>
              <w:sz w:val="21"/>
              <w:szCs w:val="21"/>
              <w:u w:val="none"/>
              <w:lang w:val="en-US" w:eastAsia="zh-CN"/>
            </w:rPr>
          </w:pPr>
          <w:r>
            <w:fldChar w:fldCharType="begin"/>
          </w:r>
          <w:r>
            <w:instrText xml:space="preserve"> HYPERLINK \l "_Toc101823027" </w:instrText>
          </w:r>
          <w:r>
            <w:fldChar w:fldCharType="separate"/>
          </w:r>
          <w:r>
            <w:rPr>
              <w:rStyle w:val="28"/>
              <w:rFonts w:asciiTheme="minorEastAsia" w:hAnsiTheme="minorEastAsia" w:eastAsiaTheme="minorEastAsia"/>
              <w:i w:val="0"/>
              <w:iCs/>
              <w:kern w:val="0"/>
              <w:sz w:val="21"/>
              <w:szCs w:val="21"/>
            </w:rPr>
            <w:t>附录E 建筑施工现场常见高毒物品目录中确定人类致癌物质</w:t>
          </w:r>
          <w:r>
            <w:rPr>
              <w:rFonts w:asciiTheme="minorEastAsia" w:hAnsiTheme="minorEastAsia" w:eastAsiaTheme="minorEastAsia"/>
              <w:i w:val="0"/>
              <w:iCs/>
              <w:sz w:val="21"/>
              <w:szCs w:val="21"/>
              <w:u w:val="none"/>
            </w:rPr>
            <w:tab/>
          </w:r>
          <w:r>
            <w:rPr>
              <w:rFonts w:hint="eastAsia" w:asciiTheme="minorEastAsia" w:hAnsiTheme="minorEastAsia" w:eastAsiaTheme="minorEastAsia"/>
              <w:i w:val="0"/>
              <w:iCs/>
              <w:sz w:val="21"/>
              <w:szCs w:val="21"/>
              <w:u w:val="none"/>
              <w:lang w:val="en-US" w:eastAsia="zh-CN"/>
            </w:rPr>
            <w:t>2</w:t>
          </w:r>
          <w:r>
            <w:rPr>
              <w:rFonts w:asciiTheme="minorEastAsia" w:hAnsiTheme="minorEastAsia" w:eastAsiaTheme="minorEastAsia"/>
              <w:i w:val="0"/>
              <w:iCs/>
              <w:sz w:val="21"/>
              <w:szCs w:val="21"/>
              <w:u w:val="none"/>
            </w:rPr>
            <w:fldChar w:fldCharType="end"/>
          </w:r>
          <w:r>
            <w:rPr>
              <w:rFonts w:hint="eastAsia" w:asciiTheme="minorEastAsia" w:hAnsiTheme="minorEastAsia" w:eastAsiaTheme="minorEastAsia"/>
              <w:i w:val="0"/>
              <w:iCs/>
              <w:sz w:val="21"/>
              <w:szCs w:val="21"/>
              <w:u w:val="none"/>
              <w:lang w:val="en-US" w:eastAsia="zh-CN"/>
            </w:rPr>
            <w:t>9</w:t>
          </w:r>
        </w:p>
        <w:p>
          <w:pPr>
            <w:pStyle w:val="15"/>
            <w:ind w:firstLine="0" w:firstLineChars="0"/>
            <w:rPr>
              <w:rFonts w:hint="eastAsia" w:asciiTheme="minorEastAsia" w:hAnsiTheme="minorEastAsia" w:eastAsiaTheme="minorEastAsia" w:cstheme="minorBidi"/>
              <w:i w:val="0"/>
              <w:iCs/>
              <w:sz w:val="21"/>
              <w:szCs w:val="21"/>
              <w:u w:val="none"/>
              <w:lang w:val="en-US" w:eastAsia="zh-CN"/>
            </w:rPr>
          </w:pPr>
          <w:r>
            <w:fldChar w:fldCharType="begin"/>
          </w:r>
          <w:r>
            <w:instrText xml:space="preserve"> HYPERLINK \l "_Toc101823028" </w:instrText>
          </w:r>
          <w:r>
            <w:fldChar w:fldCharType="separate"/>
          </w:r>
          <w:r>
            <w:rPr>
              <w:rStyle w:val="28"/>
              <w:rFonts w:asciiTheme="minorEastAsia" w:hAnsiTheme="minorEastAsia" w:eastAsiaTheme="minorEastAsia"/>
              <w:i w:val="0"/>
              <w:iCs/>
              <w:kern w:val="0"/>
              <w:sz w:val="21"/>
              <w:szCs w:val="21"/>
            </w:rPr>
            <w:t>附录F 职业接触水平及其分类控制措施（推荐）</w:t>
          </w:r>
          <w:r>
            <w:rPr>
              <w:rFonts w:asciiTheme="minorEastAsia" w:hAnsiTheme="minorEastAsia" w:eastAsiaTheme="minorEastAsia"/>
              <w:i w:val="0"/>
              <w:iCs/>
              <w:sz w:val="21"/>
              <w:szCs w:val="21"/>
              <w:u w:val="none"/>
            </w:rPr>
            <w:tab/>
          </w:r>
          <w:r>
            <w:rPr>
              <w:rFonts w:hint="eastAsia" w:asciiTheme="minorEastAsia" w:hAnsiTheme="minorEastAsia" w:eastAsiaTheme="minorEastAsia"/>
              <w:i w:val="0"/>
              <w:iCs/>
              <w:sz w:val="21"/>
              <w:szCs w:val="21"/>
              <w:u w:val="none"/>
              <w:lang w:val="en-US" w:eastAsia="zh-CN"/>
            </w:rPr>
            <w:t>3</w:t>
          </w:r>
          <w:r>
            <w:rPr>
              <w:rFonts w:asciiTheme="minorEastAsia" w:hAnsiTheme="minorEastAsia" w:eastAsiaTheme="minorEastAsia"/>
              <w:i w:val="0"/>
              <w:iCs/>
              <w:sz w:val="21"/>
              <w:szCs w:val="21"/>
              <w:u w:val="none"/>
            </w:rPr>
            <w:fldChar w:fldCharType="end"/>
          </w:r>
          <w:r>
            <w:rPr>
              <w:rFonts w:hint="eastAsia" w:asciiTheme="minorEastAsia" w:hAnsiTheme="minorEastAsia" w:eastAsiaTheme="minorEastAsia"/>
              <w:i w:val="0"/>
              <w:iCs/>
              <w:sz w:val="21"/>
              <w:szCs w:val="21"/>
              <w:u w:val="none"/>
              <w:lang w:val="en-US" w:eastAsia="zh-CN"/>
            </w:rPr>
            <w:t>0</w:t>
          </w:r>
        </w:p>
        <w:p>
          <w:pPr>
            <w:pStyle w:val="15"/>
            <w:ind w:firstLine="0" w:firstLineChars="0"/>
            <w:rPr>
              <w:rFonts w:hint="eastAsia" w:asciiTheme="minorEastAsia" w:hAnsiTheme="minorEastAsia" w:eastAsiaTheme="minorEastAsia" w:cstheme="minorBidi"/>
              <w:i w:val="0"/>
              <w:iCs/>
              <w:sz w:val="21"/>
              <w:szCs w:val="21"/>
              <w:u w:val="none"/>
              <w:lang w:val="en-US" w:eastAsia="zh-CN"/>
            </w:rPr>
          </w:pPr>
          <w:r>
            <w:fldChar w:fldCharType="begin"/>
          </w:r>
          <w:r>
            <w:instrText xml:space="preserve"> HYPERLINK \l "_Toc101823029" </w:instrText>
          </w:r>
          <w:r>
            <w:fldChar w:fldCharType="separate"/>
          </w:r>
          <w:r>
            <w:rPr>
              <w:rStyle w:val="28"/>
              <w:rFonts w:asciiTheme="minorEastAsia" w:hAnsiTheme="minorEastAsia" w:eastAsiaTheme="minorEastAsia"/>
              <w:i w:val="0"/>
              <w:iCs/>
              <w:kern w:val="0"/>
              <w:sz w:val="21"/>
              <w:szCs w:val="21"/>
            </w:rPr>
            <w:t>本标准用词说明</w:t>
          </w:r>
          <w:r>
            <w:rPr>
              <w:rFonts w:asciiTheme="minorEastAsia" w:hAnsiTheme="minorEastAsia" w:eastAsiaTheme="minorEastAsia"/>
              <w:i w:val="0"/>
              <w:iCs/>
              <w:sz w:val="21"/>
              <w:szCs w:val="21"/>
              <w:u w:val="none"/>
            </w:rPr>
            <w:tab/>
          </w:r>
          <w:r>
            <w:rPr>
              <w:rFonts w:hint="eastAsia" w:asciiTheme="minorEastAsia" w:hAnsiTheme="minorEastAsia" w:eastAsiaTheme="minorEastAsia"/>
              <w:i w:val="0"/>
              <w:iCs/>
              <w:sz w:val="21"/>
              <w:szCs w:val="21"/>
              <w:u w:val="none"/>
              <w:lang w:val="en-US" w:eastAsia="zh-CN"/>
            </w:rPr>
            <w:t>3</w:t>
          </w:r>
          <w:r>
            <w:rPr>
              <w:rFonts w:asciiTheme="minorEastAsia" w:hAnsiTheme="minorEastAsia" w:eastAsiaTheme="minorEastAsia"/>
              <w:i w:val="0"/>
              <w:iCs/>
              <w:sz w:val="21"/>
              <w:szCs w:val="21"/>
              <w:u w:val="none"/>
            </w:rPr>
            <w:fldChar w:fldCharType="end"/>
          </w:r>
          <w:r>
            <w:rPr>
              <w:rFonts w:hint="eastAsia" w:asciiTheme="minorEastAsia" w:hAnsiTheme="minorEastAsia" w:eastAsiaTheme="minorEastAsia"/>
              <w:i w:val="0"/>
              <w:iCs/>
              <w:sz w:val="21"/>
              <w:szCs w:val="21"/>
              <w:u w:val="none"/>
              <w:lang w:val="en-US" w:eastAsia="zh-CN"/>
            </w:rPr>
            <w:t>1</w:t>
          </w:r>
        </w:p>
        <w:p>
          <w:pPr>
            <w:pStyle w:val="15"/>
            <w:ind w:firstLine="0" w:firstLineChars="0"/>
            <w:rPr>
              <w:rFonts w:hint="eastAsia"/>
              <w:lang w:val="en-US" w:eastAsia="zh-CN"/>
            </w:rPr>
          </w:pPr>
          <w:r>
            <w:fldChar w:fldCharType="begin"/>
          </w:r>
          <w:r>
            <w:instrText xml:space="preserve"> HYPERLINK \l "_Toc101823030" </w:instrText>
          </w:r>
          <w:r>
            <w:fldChar w:fldCharType="separate"/>
          </w:r>
          <w:r>
            <w:rPr>
              <w:rStyle w:val="28"/>
              <w:rFonts w:asciiTheme="minorEastAsia" w:hAnsiTheme="minorEastAsia" w:eastAsiaTheme="minorEastAsia"/>
              <w:i w:val="0"/>
              <w:iCs/>
              <w:kern w:val="0"/>
              <w:sz w:val="21"/>
              <w:szCs w:val="21"/>
            </w:rPr>
            <w:t>引用标准名录</w:t>
          </w:r>
          <w:r>
            <w:rPr>
              <w:rFonts w:asciiTheme="minorEastAsia" w:hAnsiTheme="minorEastAsia" w:eastAsiaTheme="minorEastAsia"/>
              <w:i w:val="0"/>
              <w:iCs/>
              <w:sz w:val="21"/>
              <w:szCs w:val="21"/>
              <w:u w:val="none"/>
            </w:rPr>
            <w:tab/>
          </w:r>
          <w:r>
            <w:rPr>
              <w:rFonts w:hint="eastAsia" w:asciiTheme="minorEastAsia" w:hAnsiTheme="minorEastAsia" w:eastAsiaTheme="minorEastAsia"/>
              <w:i w:val="0"/>
              <w:iCs/>
              <w:sz w:val="21"/>
              <w:szCs w:val="21"/>
              <w:u w:val="none"/>
              <w:lang w:val="en-US" w:eastAsia="zh-CN"/>
            </w:rPr>
            <w:t>3</w:t>
          </w:r>
          <w:r>
            <w:rPr>
              <w:rFonts w:asciiTheme="minorEastAsia" w:hAnsiTheme="minorEastAsia" w:eastAsiaTheme="minorEastAsia"/>
              <w:i w:val="0"/>
              <w:iCs/>
              <w:sz w:val="21"/>
              <w:szCs w:val="21"/>
              <w:u w:val="none"/>
            </w:rPr>
            <w:fldChar w:fldCharType="end"/>
          </w:r>
          <w:r>
            <w:rPr>
              <w:rFonts w:hint="eastAsia" w:asciiTheme="minorEastAsia" w:hAnsiTheme="minorEastAsia" w:eastAsiaTheme="minorEastAsia"/>
              <w:i w:val="0"/>
              <w:iCs/>
              <w:sz w:val="21"/>
              <w:szCs w:val="21"/>
              <w:u w:val="none"/>
              <w:lang w:val="en-US" w:eastAsia="zh-CN"/>
            </w:rPr>
            <w:t>2</w:t>
          </w:r>
        </w:p>
        <w:p>
          <w:pPr>
            <w:spacing w:line="360" w:lineRule="auto"/>
          </w:pPr>
          <w:r>
            <w:rPr>
              <w:rFonts w:asciiTheme="minorEastAsia" w:hAnsiTheme="minorEastAsia"/>
              <w:iCs/>
              <w:szCs w:val="21"/>
              <w:lang w:val="zh-CN"/>
            </w:rPr>
            <w:fldChar w:fldCharType="end"/>
          </w:r>
        </w:p>
      </w:sdtContent>
    </w:sdt>
    <w:p>
      <w:pPr>
        <w:spacing w:line="360" w:lineRule="auto"/>
        <w:rPr>
          <w:rFonts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p>
    <w:p>
      <w:pPr>
        <w:spacing w:line="360" w:lineRule="auto"/>
        <w:jc w:val="center"/>
        <w:rPr>
          <w:rFonts w:ascii="Times New Roman" w:hAnsi="Times New Roman" w:cs="Times New Roman"/>
          <w:b/>
          <w:sz w:val="28"/>
          <w:szCs w:val="28"/>
        </w:rPr>
      </w:pPr>
      <w:r>
        <w:rPr>
          <w:rFonts w:ascii="Times New Roman" w:hAnsi="Times New Roman" w:cs="Times New Roman"/>
          <w:b/>
          <w:sz w:val="28"/>
          <w:szCs w:val="28"/>
        </w:rPr>
        <w:t>Contents</w:t>
      </w:r>
    </w:p>
    <w:p>
      <w:pPr>
        <w:pStyle w:val="15"/>
        <w:adjustRightInd w:val="0"/>
        <w:snapToGrid w:val="0"/>
        <w:spacing w:line="336" w:lineRule="auto"/>
        <w:ind w:firstLine="0" w:firstLineChars="0"/>
        <w:rPr>
          <w:rFonts w:hint="eastAsia" w:asciiTheme="minorEastAsia" w:hAnsiTheme="minorEastAsia" w:eastAsiaTheme="minorEastAsia" w:cstheme="minorEastAsia"/>
          <w:i w:val="0"/>
          <w:iCs/>
          <w:sz w:val="21"/>
          <w:szCs w:val="21"/>
          <w:u w:val="none"/>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TOC \o "1-3" \h \z \u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"_Toc101823005"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kern w:val="2"/>
          <w:sz w:val="21"/>
          <w:szCs w:val="21"/>
          <w:u w:val="none"/>
        </w:rPr>
        <w:t xml:space="preserve">1  </w:t>
      </w:r>
      <w:r>
        <w:rPr>
          <w:rStyle w:val="28"/>
          <w:rFonts w:hint="eastAsia" w:asciiTheme="minorEastAsia" w:hAnsiTheme="minorEastAsia" w:eastAsiaTheme="minorEastAsia" w:cstheme="minorEastAsia"/>
          <w:i w:val="0"/>
          <w:iCs/>
          <w:kern w:val="0"/>
          <w:sz w:val="21"/>
          <w:szCs w:val="21"/>
        </w:rPr>
        <w:t>General provisions</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PAGEREF _Toc101823005 \h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t>1</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end"/>
      </w:r>
    </w:p>
    <w:p>
      <w:pPr>
        <w:pStyle w:val="15"/>
        <w:adjustRightInd w:val="0"/>
        <w:snapToGrid w:val="0"/>
        <w:spacing w:line="336" w:lineRule="auto"/>
        <w:ind w:left="0" w:leftChars="0" w:firstLine="0" w:firstLineChars="0"/>
        <w:jc w:val="left"/>
        <w:rPr>
          <w:rFonts w:hint="eastAsia" w:asciiTheme="minorEastAsia" w:hAnsiTheme="minorEastAsia" w:eastAsiaTheme="minorEastAsia" w:cstheme="minorEastAsia"/>
          <w:i w:val="0"/>
          <w:iCs/>
          <w:sz w:val="21"/>
          <w:szCs w:val="21"/>
          <w:u w:val="none"/>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"_Toc101823006" </w:instrText>
      </w:r>
      <w:r>
        <w:rPr>
          <w:rFonts w:hint="eastAsia" w:asciiTheme="minorEastAsia" w:hAnsiTheme="minorEastAsia" w:eastAsiaTheme="minorEastAsia" w:cstheme="minorEastAsia"/>
          <w:i w:val="0"/>
          <w:iCs/>
          <w:sz w:val="21"/>
          <w:szCs w:val="21"/>
          <w:u w:val="none"/>
        </w:rPr>
        <w:fldChar w:fldCharType="separate"/>
      </w:r>
      <w:r>
        <w:rPr>
          <w:rStyle w:val="28"/>
          <w:rFonts w:hint="eastAsia" w:asciiTheme="minorEastAsia" w:hAnsiTheme="minorEastAsia" w:eastAsiaTheme="minorEastAsia" w:cstheme="minorEastAsia"/>
          <w:i w:val="0"/>
          <w:iCs/>
          <w:kern w:val="0"/>
          <w:sz w:val="21"/>
          <w:szCs w:val="21"/>
        </w:rPr>
        <w:t xml:space="preserve">2  </w:t>
      </w:r>
      <w:bookmarkStart w:id="7" w:name="_Hlk101823579"/>
      <w:r>
        <w:rPr>
          <w:rStyle w:val="28"/>
          <w:rFonts w:hint="eastAsia" w:asciiTheme="minorEastAsia" w:hAnsiTheme="minorEastAsia" w:eastAsiaTheme="minorEastAsia" w:cstheme="minorEastAsia"/>
          <w:i w:val="0"/>
          <w:iCs/>
          <w:kern w:val="0"/>
          <w:sz w:val="21"/>
          <w:szCs w:val="21"/>
        </w:rPr>
        <w:t>Terms</w:t>
      </w:r>
      <w:bookmarkEnd w:id="7"/>
      <w:r>
        <w:rPr>
          <w:rStyle w:val="28"/>
          <w:rFonts w:hint="eastAsia" w:asciiTheme="minorEastAsia" w:hAnsiTheme="minorEastAsia" w:eastAsiaTheme="minorEastAsia" w:cstheme="minorEastAsia"/>
          <w:i w:val="0"/>
          <w:iCs/>
          <w:kern w:val="0"/>
          <w:sz w:val="21"/>
          <w:szCs w:val="21"/>
        </w:rPr>
        <w:t xml:space="preserve"> and symbols</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PAGEREF _Toc101823006 \h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t>2</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end"/>
      </w:r>
    </w:p>
    <w:p>
      <w:pPr>
        <w:pStyle w:val="15"/>
        <w:adjustRightInd w:val="0"/>
        <w:snapToGrid w:val="0"/>
        <w:spacing w:line="336" w:lineRule="auto"/>
        <w:ind w:left="0" w:leftChars="0" w:firstLine="0" w:firstLineChars="0"/>
        <w:jc w:val="left"/>
        <w:rPr>
          <w:rFonts w:hint="eastAsia" w:asciiTheme="minorEastAsia" w:hAnsiTheme="minorEastAsia" w:eastAsiaTheme="minorEastAsia" w:cstheme="minorEastAsia"/>
          <w:i w:val="0"/>
          <w:iCs/>
          <w:sz w:val="21"/>
          <w:szCs w:val="21"/>
          <w:u w:val="none"/>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"_Toc101823007"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"_Toc101823008"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kern w:val="2"/>
          <w:sz w:val="21"/>
          <w:szCs w:val="21"/>
          <w:u w:val="none"/>
        </w:rPr>
        <w:t>3  Basic provisions</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PAGEREF _Toc101823008 \h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t>4</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end"/>
      </w:r>
    </w:p>
    <w:p>
      <w:pPr>
        <w:pStyle w:val="15"/>
        <w:adjustRightInd w:val="0"/>
        <w:snapToGrid w:val="0"/>
        <w:spacing w:line="336" w:lineRule="auto"/>
        <w:ind w:left="0" w:leftChars="0" w:firstLine="0" w:firstLineChars="0"/>
        <w:rPr>
          <w:rFonts w:hint="eastAsia" w:asciiTheme="minorEastAsia" w:hAnsiTheme="minorEastAsia" w:eastAsiaTheme="minorEastAsia" w:cstheme="minorEastAsia"/>
          <w:i w:val="0"/>
          <w:iCs/>
          <w:sz w:val="21"/>
          <w:szCs w:val="21"/>
          <w:u w:val="none"/>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"_Toc101823009"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sz w:val="21"/>
          <w:szCs w:val="21"/>
          <w:u w:val="none"/>
        </w:rPr>
        <w:t>3.1 Organization and rules and regulations</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PAGEREF _Toc101823009 \h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t>4</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end"/>
      </w:r>
    </w:p>
    <w:p>
      <w:pPr>
        <w:pStyle w:val="15"/>
        <w:adjustRightInd w:val="0"/>
        <w:snapToGrid w:val="0"/>
        <w:spacing w:line="336" w:lineRule="auto"/>
        <w:ind w:left="0" w:leftChars="0" w:firstLine="0" w:firstLineChars="0"/>
        <w:rPr>
          <w:rFonts w:hint="eastAsia" w:asciiTheme="minorEastAsia" w:hAnsiTheme="minorEastAsia" w:eastAsiaTheme="minorEastAsia" w:cstheme="minorEastAsia"/>
          <w:i w:val="0"/>
          <w:iCs/>
          <w:sz w:val="21"/>
          <w:szCs w:val="21"/>
          <w:u w:val="none"/>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"_Toc101823010"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sz w:val="21"/>
          <w:szCs w:val="21"/>
          <w:u w:val="none"/>
        </w:rPr>
        <w:t>3.2 Preventive measures</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PAGEREF _Toc101823010 \h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t>5</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end"/>
      </w:r>
    </w:p>
    <w:p>
      <w:pPr>
        <w:pStyle w:val="15"/>
        <w:adjustRightInd w:val="0"/>
        <w:snapToGrid w:val="0"/>
        <w:spacing w:line="336" w:lineRule="auto"/>
        <w:ind w:left="0" w:leftChars="0" w:firstLine="0" w:firstLineChars="0"/>
        <w:rPr>
          <w:rFonts w:hint="eastAsia" w:asciiTheme="minorEastAsia" w:hAnsiTheme="minorEastAsia" w:eastAsiaTheme="minorEastAsia" w:cstheme="minorEastAsia"/>
          <w:i w:val="0"/>
          <w:iCs/>
          <w:sz w:val="21"/>
          <w:szCs w:val="21"/>
          <w:u w:val="none"/>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"_Toc101823011"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sz w:val="21"/>
          <w:szCs w:val="21"/>
          <w:u w:val="none"/>
        </w:rPr>
        <w:t>3.3 Occupational health training</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PAGEREF _Toc101823011 \h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t>6</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end"/>
      </w:r>
    </w:p>
    <w:p>
      <w:pPr>
        <w:pStyle w:val="15"/>
        <w:adjustRightInd w:val="0"/>
        <w:snapToGrid w:val="0"/>
        <w:spacing w:line="336" w:lineRule="auto"/>
        <w:ind w:left="0" w:leftChars="0" w:firstLine="0" w:firstLineChars="0"/>
        <w:rPr>
          <w:rFonts w:hint="eastAsia" w:asciiTheme="minorEastAsia" w:hAnsiTheme="minorEastAsia" w:eastAsiaTheme="minorEastAsia" w:cstheme="minorEastAsia"/>
          <w:i w:val="0"/>
          <w:iCs/>
          <w:sz w:val="21"/>
          <w:szCs w:val="21"/>
          <w:u w:val="none"/>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"_Toc101823012"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sz w:val="21"/>
          <w:szCs w:val="21"/>
          <w:u w:val="none"/>
        </w:rPr>
        <w:t>3.4 Notification and warning signs of occupational hazards</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PAGEREF _Toc101823012 \h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t>6</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end"/>
      </w:r>
    </w:p>
    <w:p>
      <w:pPr>
        <w:pStyle w:val="15"/>
        <w:adjustRightInd w:val="0"/>
        <w:snapToGrid w:val="0"/>
        <w:spacing w:line="336" w:lineRule="auto"/>
        <w:ind w:left="0" w:leftChars="0" w:firstLine="0" w:firstLineChars="0"/>
        <w:rPr>
          <w:rFonts w:hint="eastAsia" w:asciiTheme="minorEastAsia" w:hAnsiTheme="minorEastAsia" w:eastAsiaTheme="minorEastAsia" w:cstheme="minorEastAsia"/>
          <w:i w:val="0"/>
          <w:iCs/>
          <w:sz w:val="21"/>
          <w:szCs w:val="21"/>
          <w:u w:val="none"/>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"_Toc101823013"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sz w:val="21"/>
          <w:szCs w:val="21"/>
          <w:u w:val="none"/>
        </w:rPr>
        <w:t>3.5 Occupational health monitoring</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PAGEREF _Toc101823013 \h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t>6</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end"/>
      </w:r>
    </w:p>
    <w:p>
      <w:pPr>
        <w:pStyle w:val="15"/>
        <w:adjustRightInd w:val="0"/>
        <w:snapToGrid w:val="0"/>
        <w:spacing w:line="336" w:lineRule="auto"/>
        <w:ind w:firstLine="0" w:firstLineChars="0"/>
        <w:rPr>
          <w:rFonts w:hint="eastAsia" w:asciiTheme="minorEastAsia" w:hAnsiTheme="minorEastAsia" w:eastAsiaTheme="minorEastAsia" w:cstheme="minorEastAsia"/>
          <w:i w:val="0"/>
          <w:iCs/>
          <w:sz w:val="21"/>
          <w:szCs w:val="21"/>
          <w:u w:val="none"/>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"_Toc101823014"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kern w:val="2"/>
          <w:sz w:val="21"/>
          <w:szCs w:val="21"/>
          <w:u w:val="none"/>
        </w:rPr>
        <w:t>4  Process management and prevention and control</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PAGEREF _Toc101823014 \h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t>8</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end"/>
      </w:r>
    </w:p>
    <w:p>
      <w:pPr>
        <w:pStyle w:val="15"/>
        <w:adjustRightInd w:val="0"/>
        <w:snapToGrid w:val="0"/>
        <w:spacing w:line="336" w:lineRule="auto"/>
        <w:ind w:left="0" w:leftChars="0" w:firstLine="0" w:firstLineChars="0"/>
        <w:rPr>
          <w:rFonts w:hint="eastAsia" w:asciiTheme="minorEastAsia" w:hAnsiTheme="minorEastAsia" w:eastAsiaTheme="minorEastAsia" w:cstheme="minorEastAsia"/>
          <w:i w:val="0"/>
          <w:iCs/>
          <w:sz w:val="21"/>
          <w:szCs w:val="21"/>
          <w:u w:val="none"/>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"_Toc101823015"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sz w:val="21"/>
          <w:szCs w:val="21"/>
          <w:u w:val="none"/>
        </w:rPr>
        <w:t>4.1 Construction site management requirements</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PAGEREF _Toc101823015 \h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t>8</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end"/>
      </w:r>
    </w:p>
    <w:p>
      <w:pPr>
        <w:pStyle w:val="15"/>
        <w:adjustRightInd w:val="0"/>
        <w:snapToGrid w:val="0"/>
        <w:spacing w:line="336" w:lineRule="auto"/>
        <w:ind w:left="0" w:leftChars="0" w:firstLine="0" w:firstLineChars="0"/>
        <w:rPr>
          <w:rFonts w:hint="eastAsia" w:asciiTheme="minorEastAsia" w:hAnsiTheme="minorEastAsia" w:eastAsiaTheme="minorEastAsia" w:cstheme="minorEastAsia"/>
          <w:i w:val="0"/>
          <w:iCs/>
          <w:sz w:val="21"/>
          <w:szCs w:val="21"/>
          <w:u w:val="none"/>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"_Toc101823016"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sz w:val="21"/>
          <w:szCs w:val="21"/>
          <w:u w:val="none"/>
        </w:rPr>
        <w:t>4.2 Protection requirements for dust</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PAGEREF _Toc101823016 \h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t>8</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end"/>
      </w:r>
    </w:p>
    <w:p>
      <w:pPr>
        <w:pStyle w:val="15"/>
        <w:adjustRightInd w:val="0"/>
        <w:snapToGrid w:val="0"/>
        <w:spacing w:line="336" w:lineRule="auto"/>
        <w:ind w:left="0" w:leftChars="0" w:firstLine="0" w:firstLineChars="0"/>
        <w:rPr>
          <w:rFonts w:hint="eastAsia" w:asciiTheme="minorEastAsia" w:hAnsiTheme="minorEastAsia" w:eastAsiaTheme="minorEastAsia" w:cstheme="minorEastAsia"/>
          <w:i w:val="0"/>
          <w:iCs/>
          <w:sz w:val="21"/>
          <w:szCs w:val="21"/>
          <w:u w:val="none"/>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"_Toc101823017"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sz w:val="21"/>
          <w:szCs w:val="21"/>
          <w:u w:val="none"/>
        </w:rPr>
        <w:t>4.3 Protection requirements for chemical poisons</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PAGEREF _Toc101823017 \h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t>9</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end"/>
      </w:r>
    </w:p>
    <w:p>
      <w:pPr>
        <w:pStyle w:val="15"/>
        <w:adjustRightInd w:val="0"/>
        <w:snapToGrid w:val="0"/>
        <w:spacing w:line="336" w:lineRule="auto"/>
        <w:ind w:left="0" w:leftChars="0" w:firstLine="0" w:firstLineChars="0"/>
        <w:rPr>
          <w:rFonts w:hint="eastAsia" w:asciiTheme="minorEastAsia" w:hAnsiTheme="minorEastAsia" w:eastAsiaTheme="minorEastAsia" w:cstheme="minorEastAsia"/>
          <w:i w:val="0"/>
          <w:iCs/>
          <w:sz w:val="21"/>
          <w:szCs w:val="21"/>
          <w:u w:val="none"/>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"_Toc101823018"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sz w:val="21"/>
          <w:szCs w:val="21"/>
          <w:u w:val="none"/>
        </w:rPr>
        <w:t>4.4 Protection requirements for noise</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PAGEREF _Toc101823018 \h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t>11</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end"/>
      </w:r>
    </w:p>
    <w:p>
      <w:pPr>
        <w:pStyle w:val="15"/>
        <w:adjustRightInd w:val="0"/>
        <w:snapToGrid w:val="0"/>
        <w:spacing w:line="336" w:lineRule="auto"/>
        <w:ind w:left="0" w:leftChars="0" w:firstLine="0" w:firstLineChars="0"/>
        <w:rPr>
          <w:rFonts w:hint="eastAsia" w:asciiTheme="minorEastAsia" w:hAnsiTheme="minorEastAsia" w:eastAsiaTheme="minorEastAsia" w:cstheme="minorEastAsia"/>
          <w:i w:val="0"/>
          <w:iCs/>
          <w:sz w:val="21"/>
          <w:szCs w:val="21"/>
          <w:u w:val="none"/>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"_Toc101823019"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sz w:val="21"/>
          <w:szCs w:val="21"/>
          <w:u w:val="none"/>
        </w:rPr>
        <w:t xml:space="preserve">4.5 </w:t>
      </w:r>
      <w:bookmarkStart w:id="8" w:name="_Hlk101823801"/>
      <w:r>
        <w:rPr>
          <w:rStyle w:val="23"/>
          <w:rFonts w:hint="eastAsia" w:asciiTheme="minorEastAsia" w:hAnsiTheme="minorEastAsia" w:eastAsiaTheme="minorEastAsia" w:cstheme="minorEastAsia"/>
          <w:i w:val="0"/>
          <w:iCs/>
          <w:sz w:val="21"/>
          <w:szCs w:val="21"/>
          <w:u w:val="none"/>
        </w:rPr>
        <w:t xml:space="preserve">Protection requirements for </w:t>
      </w:r>
      <w:bookmarkEnd w:id="8"/>
      <w:r>
        <w:rPr>
          <w:rStyle w:val="23"/>
          <w:rFonts w:hint="eastAsia" w:asciiTheme="minorEastAsia" w:hAnsiTheme="minorEastAsia" w:eastAsiaTheme="minorEastAsia" w:cstheme="minorEastAsia"/>
          <w:i w:val="0"/>
          <w:iCs/>
          <w:sz w:val="21"/>
          <w:szCs w:val="21"/>
          <w:u w:val="none"/>
        </w:rPr>
        <w:t>high temperature</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PAGEREF _Toc101823019 \h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t>11</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end"/>
      </w:r>
    </w:p>
    <w:p>
      <w:pPr>
        <w:pStyle w:val="15"/>
        <w:adjustRightInd w:val="0"/>
        <w:snapToGrid w:val="0"/>
        <w:spacing w:line="336" w:lineRule="auto"/>
        <w:ind w:left="0" w:leftChars="0" w:firstLine="0" w:firstLineChars="0"/>
        <w:rPr>
          <w:rFonts w:hint="eastAsia" w:asciiTheme="minorEastAsia" w:hAnsiTheme="minorEastAsia" w:eastAsiaTheme="minorEastAsia" w:cstheme="minorEastAsia"/>
          <w:i w:val="0"/>
          <w:iCs/>
          <w:sz w:val="21"/>
          <w:szCs w:val="21"/>
          <w:u w:val="none"/>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"_Toc101823020"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sz w:val="21"/>
          <w:szCs w:val="21"/>
          <w:u w:val="none"/>
        </w:rPr>
        <w:t>4.6 Protection requirements for</w:t>
      </w:r>
      <w:r>
        <w:rPr>
          <w:rFonts w:hint="eastAsia" w:asciiTheme="minorEastAsia" w:hAnsiTheme="minorEastAsia" w:eastAsiaTheme="minorEastAsia" w:cstheme="minorEastAsia"/>
          <w:i w:val="0"/>
          <w:iCs/>
          <w:sz w:val="21"/>
          <w:szCs w:val="21"/>
          <w:u w:val="none"/>
        </w:rPr>
        <w:t xml:space="preserve"> </w:t>
      </w:r>
      <w:r>
        <w:rPr>
          <w:rStyle w:val="23"/>
          <w:rFonts w:hint="eastAsia" w:asciiTheme="minorEastAsia" w:hAnsiTheme="minorEastAsia" w:eastAsiaTheme="minorEastAsia" w:cstheme="minorEastAsia"/>
          <w:i w:val="0"/>
          <w:iCs/>
          <w:sz w:val="21"/>
          <w:szCs w:val="21"/>
          <w:u w:val="none"/>
        </w:rPr>
        <w:t>other occupational hazards</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PAGEREF _Toc101823020 \h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t>12</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end"/>
      </w:r>
    </w:p>
    <w:p>
      <w:pPr>
        <w:pStyle w:val="15"/>
        <w:adjustRightInd w:val="0"/>
        <w:snapToGrid w:val="0"/>
        <w:spacing w:line="336" w:lineRule="auto"/>
        <w:ind w:firstLine="0" w:firstLineChars="0"/>
        <w:rPr>
          <w:rFonts w:hint="eastAsia" w:asciiTheme="minorEastAsia" w:hAnsiTheme="minorEastAsia" w:eastAsiaTheme="minorEastAsia" w:cstheme="minorEastAsia"/>
          <w:i w:val="0"/>
          <w:iCs/>
          <w:sz w:val="21"/>
          <w:szCs w:val="21"/>
          <w:u w:val="none"/>
          <w:lang w:val="en-US" w:eastAsia="zh-CN"/>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"_Toc101823021"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kern w:val="2"/>
          <w:sz w:val="21"/>
          <w:szCs w:val="21"/>
          <w:u w:val="none"/>
        </w:rPr>
        <w:t>5 Emergency rescue measures and facilities</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lang w:val="en-US" w:eastAsia="zh-CN"/>
        </w:rPr>
        <w:t>1</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lang w:val="en-US" w:eastAsia="zh-CN"/>
        </w:rPr>
        <w:t>4</w:t>
      </w:r>
    </w:p>
    <w:p>
      <w:pPr>
        <w:pStyle w:val="15"/>
        <w:adjustRightInd w:val="0"/>
        <w:snapToGrid w:val="0"/>
        <w:spacing w:line="336" w:lineRule="auto"/>
        <w:ind w:firstLine="0" w:firstLineChars="0"/>
        <w:rPr>
          <w:rFonts w:hint="eastAsia" w:asciiTheme="minorEastAsia" w:hAnsiTheme="minorEastAsia" w:eastAsiaTheme="minorEastAsia" w:cstheme="minorEastAsia"/>
          <w:i w:val="0"/>
          <w:iCs/>
          <w:sz w:val="21"/>
          <w:szCs w:val="21"/>
          <w:u w:val="none"/>
          <w:lang w:val="en-US" w:eastAsia="zh-CN"/>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"_Toc101823022"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kern w:val="2"/>
          <w:sz w:val="21"/>
          <w:szCs w:val="21"/>
          <w:u w:val="none"/>
        </w:rPr>
        <w:t>6 Labor protection articles</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lang w:val="en-US" w:eastAsia="zh-CN"/>
        </w:rPr>
        <w:t>1</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lang w:val="en-US" w:eastAsia="zh-CN"/>
        </w:rPr>
        <w:t>5</w:t>
      </w:r>
    </w:p>
    <w:p>
      <w:pPr>
        <w:pStyle w:val="15"/>
        <w:adjustRightInd w:val="0"/>
        <w:snapToGrid w:val="0"/>
        <w:spacing w:line="336" w:lineRule="auto"/>
        <w:ind w:firstLine="0" w:firstLineChars="0"/>
        <w:rPr>
          <w:rFonts w:hint="eastAsia" w:asciiTheme="minorEastAsia" w:hAnsiTheme="minorEastAsia" w:eastAsiaTheme="minorEastAsia" w:cstheme="minorEastAsia"/>
          <w:i w:val="0"/>
          <w:iCs/>
          <w:sz w:val="21"/>
          <w:szCs w:val="21"/>
          <w:u w:val="none"/>
          <w:lang w:val="en-US" w:eastAsia="zh-CN"/>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"_Toc101823023"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kern w:val="2"/>
          <w:sz w:val="21"/>
          <w:szCs w:val="21"/>
          <w:u w:val="none"/>
        </w:rPr>
        <w:t>Appendix A Comparison table of main occupational health management responsibilities of relevant units of the project construction</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lang w:val="en-US" w:eastAsia="zh-CN"/>
        </w:rPr>
        <w:t>1</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lang w:val="en-US" w:eastAsia="zh-CN"/>
        </w:rPr>
        <w:t>6</w:t>
      </w:r>
    </w:p>
    <w:p>
      <w:pPr>
        <w:pStyle w:val="15"/>
        <w:adjustRightInd w:val="0"/>
        <w:snapToGrid w:val="0"/>
        <w:spacing w:line="336" w:lineRule="auto"/>
        <w:ind w:firstLine="0" w:firstLineChars="0"/>
        <w:rPr>
          <w:rFonts w:hint="eastAsia" w:asciiTheme="minorEastAsia" w:hAnsiTheme="minorEastAsia" w:eastAsiaTheme="minorEastAsia" w:cstheme="minorEastAsia"/>
          <w:i w:val="0"/>
          <w:iCs/>
          <w:sz w:val="21"/>
          <w:szCs w:val="21"/>
          <w:u w:val="none"/>
          <w:lang w:val="en-US" w:eastAsia="zh-CN"/>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"_Toc101823024"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kern w:val="2"/>
          <w:sz w:val="21"/>
          <w:szCs w:val="21"/>
          <w:u w:val="none"/>
        </w:rPr>
        <w:t>Appendix B Prevention and control measures for common occupational hazards in construction site</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lang w:val="en-US" w:eastAsia="zh-CN"/>
        </w:rPr>
        <w:t>1</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lang w:val="en-US" w:eastAsia="zh-CN"/>
        </w:rPr>
        <w:t>7</w:t>
      </w:r>
    </w:p>
    <w:p>
      <w:pPr>
        <w:pStyle w:val="15"/>
        <w:adjustRightInd w:val="0"/>
        <w:snapToGrid w:val="0"/>
        <w:spacing w:line="336" w:lineRule="auto"/>
        <w:ind w:firstLine="0" w:firstLineChars="0"/>
        <w:rPr>
          <w:rFonts w:hint="eastAsia" w:asciiTheme="minorEastAsia" w:hAnsiTheme="minorEastAsia" w:eastAsiaTheme="minorEastAsia" w:cstheme="minorEastAsia"/>
          <w:i w:val="0"/>
          <w:iCs/>
          <w:sz w:val="21"/>
          <w:szCs w:val="21"/>
          <w:u w:val="none"/>
          <w:lang w:val="en-US" w:eastAsia="zh-CN"/>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"_Toc101823025"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kern w:val="2"/>
          <w:sz w:val="21"/>
          <w:szCs w:val="21"/>
          <w:u w:val="none"/>
        </w:rPr>
        <w:t>Appendix C Main occupational health examination items and periods of construction</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PAGEREF _Toc101823025 \h </w:instrText>
      </w:r>
      <w:r>
        <w:rPr>
          <w:rFonts w:hint="eastAsia" w:asciiTheme="minorEastAsia" w:hAnsiTheme="minorEastAsia" w:eastAsiaTheme="minorEastAsia" w:cstheme="minorEastAsia"/>
          <w:i w:val="0"/>
          <w:iCs/>
          <w:sz w:val="21"/>
          <w:szCs w:val="21"/>
          <w:u w:val="none"/>
        </w:rPr>
        <w:fldChar w:fldCharType="separate"/>
      </w:r>
      <w:r>
        <w:rPr>
          <w:rFonts w:hint="eastAsia" w:asciiTheme="minorEastAsia" w:hAnsiTheme="minorEastAsia" w:eastAsiaTheme="minorEastAsia" w:cstheme="minorEastAsia"/>
          <w:i w:val="0"/>
          <w:iCs/>
          <w:sz w:val="21"/>
          <w:szCs w:val="21"/>
          <w:u w:val="none"/>
        </w:rPr>
        <w:t>2</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lang w:val="en-US" w:eastAsia="zh-CN"/>
        </w:rPr>
        <w:t>3</w:t>
      </w:r>
    </w:p>
    <w:p>
      <w:pPr>
        <w:pStyle w:val="15"/>
        <w:adjustRightInd w:val="0"/>
        <w:snapToGrid w:val="0"/>
        <w:spacing w:line="336" w:lineRule="auto"/>
        <w:ind w:firstLine="0" w:firstLineChars="0"/>
        <w:rPr>
          <w:rFonts w:hint="eastAsia" w:asciiTheme="minorEastAsia" w:hAnsiTheme="minorEastAsia" w:eastAsiaTheme="minorEastAsia" w:cstheme="minorEastAsia"/>
          <w:i w:val="0"/>
          <w:iCs/>
          <w:sz w:val="21"/>
          <w:szCs w:val="21"/>
          <w:u w:val="none"/>
          <w:lang w:val="en-US" w:eastAsia="zh-CN"/>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"_Toc101823026"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kern w:val="2"/>
          <w:sz w:val="21"/>
          <w:szCs w:val="21"/>
          <w:u w:val="none"/>
        </w:rPr>
        <w:t>Appendix D Selection of respirators and hearing protectors commonly used in construction sites</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lang w:val="en-US" w:eastAsia="zh-CN"/>
        </w:rPr>
        <w:t>2</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lang w:val="en-US" w:eastAsia="zh-CN"/>
        </w:rPr>
        <w:t>8</w:t>
      </w:r>
    </w:p>
    <w:p>
      <w:pPr>
        <w:pStyle w:val="15"/>
        <w:adjustRightInd w:val="0"/>
        <w:snapToGrid w:val="0"/>
        <w:spacing w:line="336" w:lineRule="auto"/>
        <w:ind w:firstLine="0" w:firstLineChars="0"/>
        <w:rPr>
          <w:rFonts w:hint="eastAsia" w:asciiTheme="minorEastAsia" w:hAnsiTheme="minorEastAsia" w:eastAsiaTheme="minorEastAsia" w:cstheme="minorEastAsia"/>
          <w:i w:val="0"/>
          <w:iCs/>
          <w:sz w:val="21"/>
          <w:szCs w:val="21"/>
          <w:u w:val="none"/>
          <w:lang w:val="en-US" w:eastAsia="zh-CN"/>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"_Toc101823027"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kern w:val="2"/>
          <w:sz w:val="21"/>
          <w:szCs w:val="21"/>
          <w:u w:val="none"/>
        </w:rPr>
        <w:t>Appendix E Determination of human carcinogens in the catalogue of common high toxic substances at construction sites</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lang w:val="en-US" w:eastAsia="zh-CN"/>
        </w:rPr>
        <w:t>2</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lang w:val="en-US" w:eastAsia="zh-CN"/>
        </w:rPr>
        <w:t>9</w:t>
      </w:r>
    </w:p>
    <w:p>
      <w:pPr>
        <w:pStyle w:val="15"/>
        <w:adjustRightInd w:val="0"/>
        <w:snapToGrid w:val="0"/>
        <w:spacing w:line="336" w:lineRule="auto"/>
        <w:ind w:firstLine="0" w:firstLineChars="0"/>
        <w:rPr>
          <w:rFonts w:hint="eastAsia" w:asciiTheme="minorEastAsia" w:hAnsiTheme="minorEastAsia" w:eastAsiaTheme="minorEastAsia" w:cstheme="minorEastAsia"/>
          <w:i w:val="0"/>
          <w:iCs/>
          <w:sz w:val="21"/>
          <w:szCs w:val="21"/>
          <w:u w:val="none"/>
          <w:lang w:val="en-US" w:eastAsia="zh-CN"/>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"_Toc101823028"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kern w:val="2"/>
          <w:sz w:val="21"/>
          <w:szCs w:val="21"/>
          <w:u w:val="none"/>
        </w:rPr>
        <w:t>Appendix F Occupational exposure level and its classified control measures (recommended)</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lang w:val="en-US" w:eastAsia="zh-CN"/>
        </w:rPr>
        <w:t>3</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lang w:val="en-US" w:eastAsia="zh-CN"/>
        </w:rPr>
        <w:t>0</w:t>
      </w:r>
    </w:p>
    <w:p>
      <w:pPr>
        <w:pStyle w:val="15"/>
        <w:adjustRightInd w:val="0"/>
        <w:snapToGrid w:val="0"/>
        <w:spacing w:line="336" w:lineRule="auto"/>
        <w:ind w:firstLine="0" w:firstLineChars="0"/>
        <w:rPr>
          <w:rFonts w:hint="eastAsia" w:asciiTheme="minorEastAsia" w:hAnsiTheme="minorEastAsia" w:eastAsiaTheme="minorEastAsia" w:cstheme="minorEastAsia"/>
          <w:i w:val="0"/>
          <w:iCs/>
          <w:sz w:val="21"/>
          <w:szCs w:val="21"/>
          <w:u w:val="none"/>
          <w:lang w:val="en-US" w:eastAsia="zh-CN"/>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"_Toc101823029"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kern w:val="2"/>
          <w:sz w:val="21"/>
          <w:szCs w:val="21"/>
          <w:u w:val="none"/>
        </w:rPr>
        <w:t>Description of words used in this standard</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lang w:val="en-US" w:eastAsia="zh-CN"/>
        </w:rPr>
        <w:t>3</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lang w:val="en-US" w:eastAsia="zh-CN"/>
        </w:rPr>
        <w:t>1</w:t>
      </w:r>
    </w:p>
    <w:p>
      <w:pPr>
        <w:pStyle w:val="15"/>
        <w:adjustRightInd w:val="0"/>
        <w:snapToGrid w:val="0"/>
        <w:spacing w:line="336" w:lineRule="auto"/>
        <w:ind w:firstLine="0" w:firstLineChars="0"/>
        <w:rPr>
          <w:rFonts w:hint="eastAsia" w:asciiTheme="minorEastAsia" w:hAnsiTheme="minorEastAsia" w:eastAsiaTheme="minorEastAsia" w:cstheme="minorEastAsia"/>
          <w:i w:val="0"/>
          <w:iCs/>
          <w:sz w:val="21"/>
          <w:szCs w:val="21"/>
          <w:u w:val="none"/>
          <w:lang w:val="en-US" w:eastAsia="zh-CN"/>
        </w:rPr>
      </w:pPr>
      <w:r>
        <w:rPr>
          <w:rFonts w:hint="eastAsia" w:asciiTheme="minorEastAsia" w:hAnsiTheme="minorEastAsia" w:eastAsiaTheme="minorEastAsia" w:cstheme="minorEastAsia"/>
          <w:i w:val="0"/>
          <w:iCs/>
          <w:sz w:val="21"/>
          <w:szCs w:val="21"/>
          <w:u w:val="none"/>
        </w:rPr>
        <w:fldChar w:fldCharType="begin"/>
      </w:r>
      <w:r>
        <w:rPr>
          <w:rFonts w:hint="eastAsia" w:asciiTheme="minorEastAsia" w:hAnsiTheme="minorEastAsia" w:eastAsiaTheme="minorEastAsia" w:cstheme="minorEastAsia"/>
          <w:i w:val="0"/>
          <w:iCs/>
          <w:sz w:val="21"/>
          <w:szCs w:val="21"/>
          <w:u w:val="none"/>
        </w:rPr>
        <w:instrText xml:space="preserve"> HYPERLINK \l "_Toc101823030" </w:instrText>
      </w:r>
      <w:r>
        <w:rPr>
          <w:rFonts w:hint="eastAsia" w:asciiTheme="minorEastAsia" w:hAnsiTheme="minorEastAsia" w:eastAsiaTheme="minorEastAsia" w:cstheme="minorEastAsia"/>
          <w:i w:val="0"/>
          <w:iCs/>
          <w:sz w:val="21"/>
          <w:szCs w:val="21"/>
          <w:u w:val="none"/>
        </w:rPr>
        <w:fldChar w:fldCharType="separate"/>
      </w:r>
      <w:r>
        <w:rPr>
          <w:rStyle w:val="23"/>
          <w:rFonts w:hint="eastAsia" w:asciiTheme="minorEastAsia" w:hAnsiTheme="minorEastAsia" w:eastAsiaTheme="minorEastAsia" w:cstheme="minorEastAsia"/>
          <w:i w:val="0"/>
          <w:iCs/>
          <w:kern w:val="2"/>
          <w:sz w:val="21"/>
          <w:szCs w:val="21"/>
          <w:u w:val="none"/>
        </w:rPr>
        <w:t>List of referenced standards</w:t>
      </w:r>
      <w:r>
        <w:rPr>
          <w:rFonts w:hint="eastAsia" w:asciiTheme="minorEastAsia" w:hAnsiTheme="minorEastAsia" w:eastAsiaTheme="minorEastAsia" w:cstheme="minorEastAsia"/>
          <w:i w:val="0"/>
          <w:iCs/>
          <w:sz w:val="21"/>
          <w:szCs w:val="21"/>
          <w:u w:val="none"/>
        </w:rPr>
        <w:tab/>
      </w:r>
      <w:r>
        <w:rPr>
          <w:rFonts w:hint="eastAsia" w:asciiTheme="minorEastAsia" w:hAnsiTheme="minorEastAsia" w:eastAsiaTheme="minorEastAsia" w:cstheme="minorEastAsia"/>
          <w:i w:val="0"/>
          <w:iCs/>
          <w:sz w:val="21"/>
          <w:szCs w:val="21"/>
          <w:u w:val="none"/>
          <w:lang w:val="en-US" w:eastAsia="zh-CN"/>
        </w:rPr>
        <w:t>3</w:t>
      </w:r>
      <w:r>
        <w:rPr>
          <w:rFonts w:hint="eastAsia" w:asciiTheme="minorEastAsia" w:hAnsiTheme="minorEastAsia" w:eastAsiaTheme="minorEastAsia" w:cstheme="minorEastAsia"/>
          <w:i w:val="0"/>
          <w:iCs/>
          <w:sz w:val="21"/>
          <w:szCs w:val="21"/>
          <w:u w:val="none"/>
        </w:rPr>
        <w:fldChar w:fldCharType="end"/>
      </w:r>
      <w:r>
        <w:rPr>
          <w:rFonts w:hint="eastAsia" w:asciiTheme="minorEastAsia" w:hAnsiTheme="minorEastAsia" w:eastAsiaTheme="minorEastAsia" w:cstheme="minorEastAsia"/>
          <w:i w:val="0"/>
          <w:iCs/>
          <w:sz w:val="21"/>
          <w:szCs w:val="21"/>
          <w:u w:val="none"/>
          <w:lang w:val="en-US" w:eastAsia="zh-CN"/>
        </w:rPr>
        <w:t>2</w:t>
      </w:r>
    </w:p>
    <w:p>
      <w:pPr>
        <w:adjustRightInd w:val="0"/>
        <w:snapToGrid w:val="0"/>
        <w:spacing w:line="336" w:lineRule="auto"/>
        <w:jc w:val="left"/>
        <w:rPr>
          <w:rFonts w:ascii="Times New Roman" w:hAns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hint="eastAsia" w:asciiTheme="minorEastAsia" w:hAnsiTheme="minorEastAsia" w:cstheme="minorEastAsia"/>
          <w:iCs/>
          <w:szCs w:val="21"/>
          <w:lang w:val="zh-CN"/>
        </w:rPr>
        <w:fldChar w:fldCharType="end"/>
      </w:r>
    </w:p>
    <w:p>
      <w:pPr>
        <w:keepNext w:val="0"/>
        <w:keepLines w:val="0"/>
        <w:pageBreakBefore/>
        <w:widowControl/>
        <w:kinsoku/>
        <w:wordWrap/>
        <w:overflowPunct/>
        <w:topLinePunct w:val="0"/>
        <w:autoSpaceDE/>
        <w:autoSpaceDN/>
        <w:bidi w:val="0"/>
        <w:adjustRightInd/>
        <w:snapToGrid w:val="0"/>
        <w:spacing w:before="312" w:beforeLines="100" w:after="312" w:afterLines="100" w:line="240" w:lineRule="auto"/>
        <w:jc w:val="center"/>
        <w:textAlignment w:val="auto"/>
        <w:outlineLvl w:val="0"/>
        <w:rPr>
          <w:rFonts w:hint="eastAsia" w:ascii="宋体" w:hAnsi="宋体" w:eastAsia="宋体" w:cs="宋体"/>
          <w:b/>
          <w:bCs/>
          <w:color w:val="000000"/>
          <w:kern w:val="0"/>
          <w:sz w:val="28"/>
          <w:szCs w:val="28"/>
        </w:rPr>
      </w:pPr>
      <w:bookmarkStart w:id="9" w:name="_Toc101823005"/>
      <w:r>
        <w:rPr>
          <w:rFonts w:hint="eastAsia" w:ascii="宋体" w:hAnsi="宋体" w:eastAsia="宋体" w:cs="宋体"/>
          <w:b/>
          <w:bCs/>
          <w:color w:val="000000"/>
          <w:kern w:val="0"/>
          <w:sz w:val="28"/>
          <w:szCs w:val="28"/>
        </w:rPr>
        <w:t>1  总则</w:t>
      </w:r>
      <w:bookmarkEnd w:id="9"/>
      <w:bookmarkStart w:id="110" w:name="_GoBack"/>
      <w:bookmarkEnd w:id="110"/>
    </w:p>
    <w:p>
      <w:pPr>
        <w:spacing w:line="360" w:lineRule="auto"/>
        <w:jc w:val="left"/>
        <w:rPr>
          <w:rFonts w:ascii="Times New Roman" w:hAnsi="Times New Roman" w:cs="Times New Roman"/>
          <w:b/>
        </w:rPr>
      </w:pPr>
      <w:r>
        <w:rPr>
          <w:rFonts w:hint="eastAsia" w:ascii="Times New Roman" w:hAnsi="Times New Roman" w:cs="Times New Roman"/>
          <w:b/>
        </w:rPr>
        <w:t>1.0.1</w:t>
      </w:r>
      <w:r>
        <w:rPr>
          <w:rFonts w:hint="eastAsia" w:ascii="Times New Roman" w:hAnsi="Times New Roman" w:cs="Times New Roman"/>
          <w:b/>
          <w:lang w:val="en-US" w:eastAsia="zh-CN"/>
        </w:rPr>
        <w:t xml:space="preserve">  </w:t>
      </w:r>
      <w:r>
        <w:rPr>
          <w:rFonts w:hint="eastAsia" w:ascii="Times New Roman" w:hAnsi="Times New Roman" w:cs="Times New Roman"/>
          <w:b w:val="0"/>
          <w:bCs/>
        </w:rPr>
        <w:t>本标准旨在结合重庆建筑施工现场特点，针对常见职业病危害提出有科学的、可操作性的防控技术措施，进而有效提高重庆市建筑施工行业企业职业病防控整体水平，进一步保护建筑施工劳动者身体健康。拟对重庆市建筑施工行业存在的常见职业病危害及其防控技术措施进行梳理和分析。</w:t>
      </w:r>
    </w:p>
    <w:p>
      <w:pPr>
        <w:spacing w:line="360" w:lineRule="auto"/>
        <w:rPr>
          <w:rFonts w:cs="Times New Roman" w:asciiTheme="minorEastAsia" w:hAnsiTheme="minorEastAsia"/>
          <w:i/>
          <w:iCs/>
          <w:szCs w:val="21"/>
          <w:u w:val="single"/>
        </w:rPr>
      </w:pPr>
      <w:r>
        <w:rPr>
          <w:rFonts w:hint="eastAsia" w:cs="Times New Roman" w:asciiTheme="minorEastAsia" w:hAnsiTheme="minorEastAsia"/>
          <w:b/>
          <w:bCs/>
          <w:i/>
          <w:iCs/>
          <w:szCs w:val="21"/>
          <w:u w:val="single"/>
        </w:rPr>
        <w:t>条文说明：</w:t>
      </w:r>
      <w:r>
        <w:rPr>
          <w:rFonts w:hint="eastAsia" w:cs="Times New Roman" w:asciiTheme="minorEastAsia" w:hAnsiTheme="minorEastAsia"/>
          <w:i/>
          <w:iCs/>
          <w:szCs w:val="21"/>
          <w:u w:val="single"/>
        </w:rPr>
        <w:t>建筑施工行业职业病危害严重，改善作业场所的职业病危害现状对保护广大建筑施工劳动者身体健康具有重要的意义。尽管国家、地方已经颁布了两个建筑施工行业职业病防治有关的标准（GBZ/T 211和AQ/T4256），但并没有广泛应用于实际工程。本标准旨在保护建筑施工劳动者身体健康，对重庆市建筑施工行业职业病危害防控技术开展基础性研究，拟对重庆市建筑施工行业存在的常见职业病危害进行梳理和分析，加强企业对于职业病危害防治措施，进而有效提高重庆市建筑施工行业企业职业病防控整体水平。</w:t>
      </w:r>
    </w:p>
    <w:p>
      <w:pPr>
        <w:spacing w:line="360" w:lineRule="auto"/>
        <w:jc w:val="left"/>
        <w:rPr>
          <w:rFonts w:ascii="Times New Roman" w:hAnsi="Times New Roman" w:cs="Times New Roman"/>
          <w:b/>
        </w:rPr>
      </w:pPr>
      <w:r>
        <w:rPr>
          <w:rFonts w:hint="eastAsia" w:ascii="Times New Roman" w:hAnsi="Times New Roman" w:cs="Times New Roman"/>
          <w:b/>
        </w:rPr>
        <w:t>1.0.2</w:t>
      </w:r>
      <w:r>
        <w:rPr>
          <w:rFonts w:hint="eastAsia" w:ascii="Times New Roman" w:hAnsi="Times New Roman" w:cs="Times New Roman"/>
          <w:b/>
          <w:lang w:val="en-US" w:eastAsia="zh-CN"/>
        </w:rPr>
        <w:t xml:space="preserve">  </w:t>
      </w:r>
      <w:r>
        <w:rPr>
          <w:rFonts w:hint="eastAsia" w:ascii="Times New Roman" w:hAnsi="Times New Roman" w:cs="Times New Roman"/>
          <w:b w:val="0"/>
          <w:bCs/>
        </w:rPr>
        <w:t>本标准适用于新建、改建、扩建建筑工程和市政工程（道路、桥梁、管线设施、隧道等）施工作业场所的常见职业病危害防控管理。</w:t>
      </w:r>
    </w:p>
    <w:p>
      <w:pPr>
        <w:spacing w:line="360" w:lineRule="auto"/>
        <w:jc w:val="left"/>
        <w:rPr>
          <w:rFonts w:cs="Times New Roman" w:asciiTheme="minorEastAsia" w:hAnsiTheme="minorEastAsia"/>
          <w:i/>
          <w:iCs/>
          <w:szCs w:val="21"/>
          <w:u w:val="single"/>
        </w:rPr>
      </w:pPr>
      <w:r>
        <w:rPr>
          <w:rFonts w:hint="eastAsia" w:cs="Times New Roman" w:asciiTheme="minorEastAsia" w:hAnsiTheme="minorEastAsia"/>
          <w:b/>
          <w:bCs/>
          <w:i/>
          <w:iCs/>
          <w:szCs w:val="21"/>
          <w:u w:val="single"/>
        </w:rPr>
        <w:t>条文说明：</w:t>
      </w:r>
      <w:r>
        <w:rPr>
          <w:rFonts w:hint="eastAsia" w:cs="Times New Roman" w:asciiTheme="minorEastAsia" w:hAnsiTheme="minorEastAsia"/>
          <w:i/>
          <w:iCs/>
          <w:szCs w:val="21"/>
          <w:u w:val="single"/>
        </w:rPr>
        <w:t>本条规定了标准的适用范围。本标准适用于新建、改建、扩建的工业与民用建筑及市政工程含道路、桥梁、管线设施、隧道等建筑施工作业场所的常见职业病危害因素及其防控技术要点、个人防护用品选用类型、职业卫生管理有关内容。适用对象为建筑施工企业的劳动者、职业卫生负责人及有关管理人员。</w:t>
      </w:r>
    </w:p>
    <w:p>
      <w:pPr>
        <w:spacing w:line="360" w:lineRule="auto"/>
        <w:jc w:val="left"/>
        <w:rPr>
          <w:rFonts w:ascii="Times New Roman" w:hAnsi="Times New Roman" w:cs="Times New Roman"/>
          <w:b/>
        </w:rPr>
      </w:pPr>
      <w:r>
        <w:rPr>
          <w:rFonts w:hint="eastAsia" w:ascii="Times New Roman" w:hAnsi="Times New Roman" w:cs="Times New Roman"/>
          <w:b/>
        </w:rPr>
        <w:t>1.0.3</w:t>
      </w:r>
      <w:r>
        <w:rPr>
          <w:rFonts w:hint="eastAsia" w:ascii="Times New Roman" w:hAnsi="Times New Roman" w:cs="Times New Roman"/>
          <w:b/>
          <w:lang w:val="en-US" w:eastAsia="zh-CN"/>
        </w:rPr>
        <w:t xml:space="preserve"> </w:t>
      </w:r>
      <w:r>
        <w:rPr>
          <w:rFonts w:hint="eastAsia" w:ascii="Times New Roman" w:hAnsi="Times New Roman" w:cs="Times New Roman"/>
          <w:b/>
        </w:rPr>
        <w:t xml:space="preserve"> </w:t>
      </w:r>
      <w:r>
        <w:rPr>
          <w:rFonts w:hint="eastAsia" w:ascii="Times New Roman" w:hAnsi="Times New Roman" w:cs="Times New Roman"/>
          <w:b w:val="0"/>
          <w:bCs/>
        </w:rPr>
        <w:t>建筑施工现场常见职业病危害防控除应符合本技术标准外，尚应符合国家及重庆市现行有关规范及标准的规定。</w:t>
      </w:r>
    </w:p>
    <w:p>
      <w:pPr>
        <w:spacing w:line="360" w:lineRule="auto"/>
        <w:rPr>
          <w:rFonts w:cs="Times New Roman" w:asciiTheme="minorEastAsia" w:hAnsiTheme="minorEastAsia"/>
          <w:i/>
          <w:iCs/>
          <w:u w:val="single"/>
        </w:rPr>
      </w:pPr>
      <w:r>
        <w:rPr>
          <w:rFonts w:hint="eastAsia" w:cs="Times New Roman" w:asciiTheme="minorEastAsia" w:hAnsiTheme="minorEastAsia"/>
          <w:b/>
          <w:bCs/>
          <w:i/>
          <w:iCs/>
          <w:u w:val="single"/>
        </w:rPr>
        <w:t>条文说明：</w:t>
      </w:r>
      <w:r>
        <w:rPr>
          <w:rFonts w:hint="eastAsia" w:cs="Times New Roman" w:asciiTheme="minorEastAsia" w:hAnsiTheme="minorEastAsia"/>
          <w:i/>
          <w:iCs/>
          <w:u w:val="single"/>
        </w:rPr>
        <w:t>从国内建筑施工职业病防治有关标准的内容上看，主要是以职业病危害因素为主线列出相应的职业病危害防护技术措施。目前的标准存在与实际衔接不好的方面，有以下几点：1）职业卫生管理职责不清，未明确专项经费。由于建筑施工行业存在大量的转包、分包等形式的用工方式，对职业卫生管理职责的落实造成了很大难度。2）各个建筑施工工艺可能存在职业病危害因素识别不清。建筑施工有别于其他存在职业病危害的新建、改建、扩建项目，具有工艺流程多而复杂，存在不同职业病危害作业场所的交织。3）尚未对建筑施工常见现场的职业病危害及其防控技术措施进行梳理和总结。</w:t>
      </w:r>
    </w:p>
    <w:p>
      <w:pPr>
        <w:spacing w:line="360" w:lineRule="auto"/>
        <w:jc w:val="left"/>
        <w:rPr>
          <w:rFonts w:ascii="Times New Roman" w:hAnsi="Times New Roman" w:cs="Times New Roman"/>
        </w:rPr>
        <w:sectPr>
          <w:footerReference r:id="rId5"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keepNext w:val="0"/>
        <w:keepLines w:val="0"/>
        <w:pageBreakBefore/>
        <w:widowControl/>
        <w:kinsoku/>
        <w:wordWrap/>
        <w:overflowPunct/>
        <w:topLinePunct w:val="0"/>
        <w:autoSpaceDE/>
        <w:autoSpaceDN/>
        <w:bidi w:val="0"/>
        <w:adjustRightInd/>
        <w:snapToGrid w:val="0"/>
        <w:spacing w:before="312" w:beforeLines="100" w:after="312" w:afterLines="100" w:line="240" w:lineRule="auto"/>
        <w:jc w:val="center"/>
        <w:textAlignment w:val="auto"/>
        <w:outlineLvl w:val="0"/>
        <w:rPr>
          <w:rFonts w:hint="eastAsia" w:ascii="宋体" w:hAnsi="宋体" w:eastAsia="宋体" w:cs="宋体"/>
          <w:b/>
          <w:bCs/>
          <w:color w:val="000000"/>
          <w:kern w:val="0"/>
          <w:sz w:val="28"/>
          <w:szCs w:val="28"/>
        </w:rPr>
      </w:pPr>
      <w:bookmarkStart w:id="10" w:name="_Toc101823006"/>
      <w:r>
        <w:rPr>
          <w:rFonts w:hint="eastAsia" w:ascii="宋体" w:hAnsi="宋体" w:eastAsia="宋体" w:cs="宋体"/>
          <w:b/>
          <w:bCs/>
          <w:color w:val="000000"/>
          <w:kern w:val="0"/>
          <w:sz w:val="28"/>
          <w:szCs w:val="28"/>
        </w:rPr>
        <w:t>2  术语</w:t>
      </w:r>
      <w:bookmarkEnd w:id="10"/>
    </w:p>
    <w:p>
      <w:pPr>
        <w:spacing w:line="360" w:lineRule="auto"/>
        <w:jc w:val="left"/>
        <w:rPr>
          <w:rFonts w:ascii="Times New Roman" w:hAnsi="Times New Roman" w:cs="Times New Roman"/>
          <w:b/>
        </w:rPr>
      </w:pPr>
      <w:r>
        <w:rPr>
          <w:rFonts w:hint="eastAsia" w:ascii="Times New Roman" w:hAnsi="Times New Roman" w:cs="Times New Roman"/>
          <w:b/>
        </w:rPr>
        <w:t>2.</w:t>
      </w:r>
      <w:r>
        <w:rPr>
          <w:rFonts w:hint="eastAsia" w:ascii="Times New Roman" w:hAnsi="Times New Roman" w:cs="Times New Roman"/>
          <w:b/>
          <w:lang w:val="en-US" w:eastAsia="zh-CN"/>
        </w:rPr>
        <w:t>0</w:t>
      </w:r>
      <w:r>
        <w:rPr>
          <w:rFonts w:hint="eastAsia" w:ascii="Times New Roman" w:hAnsi="Times New Roman" w:cs="Times New Roman"/>
          <w:b/>
        </w:rPr>
        <w:t>.1</w:t>
      </w:r>
      <w:r>
        <w:rPr>
          <w:rFonts w:hint="eastAsia" w:ascii="Times New Roman" w:hAnsi="Times New Roman" w:cs="Times New Roman"/>
          <w:b/>
          <w:lang w:val="en-US" w:eastAsia="zh-CN"/>
        </w:rPr>
        <w:t xml:space="preserve">  </w:t>
      </w:r>
      <w:r>
        <w:rPr>
          <w:rFonts w:hint="eastAsia" w:ascii="Times New Roman" w:hAnsi="Times New Roman" w:cs="Times New Roman"/>
          <w:b w:val="0"/>
          <w:bCs/>
        </w:rPr>
        <w:t>建筑施工</w:t>
      </w:r>
      <w:r>
        <w:rPr>
          <w:rFonts w:ascii="Times New Roman" w:hAnsi="Times New Roman" w:cs="Times New Roman"/>
          <w:b w:val="0"/>
          <w:bCs/>
        </w:rPr>
        <w:t xml:space="preserve"> building construction</w:t>
      </w:r>
    </w:p>
    <w:p>
      <w:pPr>
        <w:spacing w:line="360" w:lineRule="auto"/>
        <w:ind w:firstLine="405"/>
        <w:jc w:val="left"/>
        <w:rPr>
          <w:rFonts w:ascii="Times New Roman" w:hAnsi="Times New Roman" w:cs="Times New Roman"/>
          <w:b w:val="0"/>
          <w:bCs/>
        </w:rPr>
      </w:pPr>
      <w:r>
        <w:rPr>
          <w:rFonts w:hint="eastAsia" w:ascii="Times New Roman" w:hAnsi="Times New Roman" w:cs="Times New Roman"/>
          <w:b w:val="0"/>
          <w:bCs/>
        </w:rPr>
        <w:t>工程建设实施阶段的生产活动，是各类建筑物的建造过程，包括基础工程施工、主体结构施工、屋面工程施工、装饰工程施工、安装工程施工（已竣工交付使用的住宅楼进行室内装修活动除外）等。本标准中建筑施工主要是指建筑工程和市政工程。</w:t>
      </w:r>
    </w:p>
    <w:p>
      <w:pPr>
        <w:spacing w:line="360" w:lineRule="auto"/>
        <w:jc w:val="left"/>
        <w:rPr>
          <w:rFonts w:ascii="Times New Roman" w:hAnsi="Times New Roman" w:cs="Times New Roman"/>
          <w:b/>
        </w:rPr>
      </w:pPr>
      <w:r>
        <w:rPr>
          <w:rFonts w:ascii="Times New Roman" w:hAnsi="Times New Roman" w:cs="Times New Roman"/>
          <w:b/>
        </w:rPr>
        <w:t>2.</w:t>
      </w:r>
      <w:r>
        <w:rPr>
          <w:rFonts w:hint="eastAsia" w:ascii="Times New Roman" w:hAnsi="Times New Roman" w:cs="Times New Roman"/>
          <w:b/>
          <w:lang w:val="en-US" w:eastAsia="zh-CN"/>
        </w:rPr>
        <w:t>0</w:t>
      </w:r>
      <w:r>
        <w:rPr>
          <w:rFonts w:ascii="Times New Roman" w:hAnsi="Times New Roman" w:cs="Times New Roman"/>
          <w:b/>
        </w:rPr>
        <w:t xml:space="preserve">.2 </w:t>
      </w:r>
      <w:r>
        <w:rPr>
          <w:rFonts w:hint="eastAsia" w:ascii="Times New Roman" w:hAnsi="Times New Roman" w:cs="Times New Roman"/>
          <w:b/>
          <w:lang w:val="en-US" w:eastAsia="zh-CN"/>
        </w:rPr>
        <w:t xml:space="preserve"> </w:t>
      </w:r>
      <w:r>
        <w:rPr>
          <w:rFonts w:hint="eastAsia" w:ascii="Times New Roman" w:hAnsi="Times New Roman" w:cs="Times New Roman"/>
          <w:b w:val="0"/>
          <w:bCs/>
        </w:rPr>
        <w:t>施工现场 construction site</w:t>
      </w:r>
    </w:p>
    <w:p>
      <w:pPr>
        <w:spacing w:line="360" w:lineRule="auto"/>
        <w:ind w:firstLine="405"/>
        <w:jc w:val="left"/>
        <w:rPr>
          <w:rFonts w:hint="eastAsia" w:ascii="Times New Roman" w:hAnsi="Times New Roman" w:cs="Times New Roman"/>
          <w:b w:val="0"/>
          <w:bCs/>
        </w:rPr>
      </w:pPr>
      <w:r>
        <w:rPr>
          <w:rFonts w:hint="eastAsia" w:ascii="Times New Roman" w:hAnsi="Times New Roman" w:cs="Times New Roman"/>
          <w:b w:val="0"/>
          <w:bCs/>
        </w:rPr>
        <w:t>经批准进行土木工程、建筑工程、线路管道和设备安装工程及装修工程的新建、扩建、改建和拆除等施工活动所占用的施工场地。</w:t>
      </w:r>
    </w:p>
    <w:p>
      <w:pPr>
        <w:spacing w:line="360" w:lineRule="auto"/>
        <w:jc w:val="left"/>
        <w:rPr>
          <w:rFonts w:ascii="Times New Roman" w:hAnsi="Times New Roman" w:cs="Times New Roman"/>
          <w:b/>
        </w:rPr>
      </w:pPr>
      <w:r>
        <w:rPr>
          <w:rFonts w:ascii="Times New Roman" w:hAnsi="Times New Roman" w:cs="Times New Roman"/>
          <w:b/>
        </w:rPr>
        <w:t>2.</w:t>
      </w:r>
      <w:r>
        <w:rPr>
          <w:rFonts w:hint="eastAsia" w:ascii="Times New Roman" w:hAnsi="Times New Roman" w:cs="Times New Roman"/>
          <w:b/>
          <w:lang w:val="en-US" w:eastAsia="zh-CN"/>
        </w:rPr>
        <w:t>0</w:t>
      </w:r>
      <w:r>
        <w:rPr>
          <w:rFonts w:ascii="Times New Roman" w:hAnsi="Times New Roman" w:cs="Times New Roman"/>
          <w:b/>
        </w:rPr>
        <w:t xml:space="preserve">.3 </w:t>
      </w:r>
      <w:r>
        <w:rPr>
          <w:rFonts w:hint="eastAsia" w:ascii="Times New Roman" w:hAnsi="Times New Roman" w:cs="Times New Roman"/>
          <w:b/>
          <w:lang w:val="en-US" w:eastAsia="zh-CN"/>
        </w:rPr>
        <w:t xml:space="preserve"> </w:t>
      </w:r>
      <w:r>
        <w:rPr>
          <w:rFonts w:hint="eastAsia" w:ascii="Times New Roman" w:hAnsi="Times New Roman" w:cs="Times New Roman"/>
          <w:b w:val="0"/>
          <w:bCs/>
        </w:rPr>
        <w:t>项目经理 project manager</w:t>
      </w:r>
    </w:p>
    <w:p>
      <w:pPr>
        <w:spacing w:line="360" w:lineRule="auto"/>
        <w:ind w:firstLine="405"/>
        <w:jc w:val="left"/>
        <w:rPr>
          <w:rFonts w:hint="eastAsia" w:ascii="Times New Roman" w:hAnsi="Times New Roman" w:cs="Times New Roman"/>
          <w:b w:val="0"/>
          <w:bCs/>
        </w:rPr>
      </w:pPr>
      <w:r>
        <w:rPr>
          <w:rFonts w:hint="eastAsia" w:ascii="Times New Roman" w:hAnsi="Times New Roman" w:cs="Times New Roman"/>
          <w:b w:val="0"/>
          <w:bCs/>
        </w:rPr>
        <w:t>施工企业法定代表人在建设工程项目的授权或委托代理人。</w:t>
      </w:r>
    </w:p>
    <w:p>
      <w:pPr>
        <w:spacing w:line="360" w:lineRule="auto"/>
        <w:jc w:val="left"/>
        <w:rPr>
          <w:rFonts w:ascii="Times New Roman" w:hAnsi="Times New Roman" w:cs="Times New Roman"/>
          <w:b/>
        </w:rPr>
      </w:pPr>
      <w:r>
        <w:rPr>
          <w:rFonts w:ascii="Times New Roman" w:hAnsi="Times New Roman" w:cs="Times New Roman"/>
          <w:b/>
        </w:rPr>
        <w:t>2.</w:t>
      </w:r>
      <w:r>
        <w:rPr>
          <w:rFonts w:hint="eastAsia" w:ascii="Times New Roman" w:hAnsi="Times New Roman" w:cs="Times New Roman"/>
          <w:b/>
          <w:lang w:val="en-US" w:eastAsia="zh-CN"/>
        </w:rPr>
        <w:t>0</w:t>
      </w:r>
      <w:r>
        <w:rPr>
          <w:rFonts w:ascii="Times New Roman" w:hAnsi="Times New Roman" w:cs="Times New Roman"/>
          <w:b/>
        </w:rPr>
        <w:t xml:space="preserve">.4 </w:t>
      </w:r>
      <w:r>
        <w:rPr>
          <w:rFonts w:hint="eastAsia" w:ascii="Times New Roman" w:hAnsi="Times New Roman" w:cs="Times New Roman"/>
          <w:b/>
          <w:lang w:val="en-US" w:eastAsia="zh-CN"/>
        </w:rPr>
        <w:t xml:space="preserve"> </w:t>
      </w:r>
      <w:r>
        <w:rPr>
          <w:rFonts w:hint="eastAsia" w:ascii="Times New Roman" w:hAnsi="Times New Roman" w:cs="Times New Roman"/>
          <w:b w:val="0"/>
          <w:bCs/>
        </w:rPr>
        <w:t>项目经理部 project management department</w:t>
      </w:r>
    </w:p>
    <w:p>
      <w:pPr>
        <w:spacing w:line="360" w:lineRule="auto"/>
        <w:ind w:firstLine="405"/>
        <w:jc w:val="left"/>
        <w:rPr>
          <w:rFonts w:hint="eastAsia" w:ascii="Times New Roman" w:hAnsi="Times New Roman" w:cs="Times New Roman"/>
          <w:b w:val="0"/>
          <w:bCs/>
        </w:rPr>
      </w:pPr>
      <w:r>
        <w:rPr>
          <w:rFonts w:hint="eastAsia" w:ascii="Times New Roman" w:hAnsi="Times New Roman" w:cs="Times New Roman"/>
          <w:b w:val="0"/>
          <w:bCs/>
        </w:rPr>
        <w:t>在企业法定代表人授权和职能部门的支持下按照企业的相关规定组建的、进行项目管理的组织机构。</w:t>
      </w:r>
    </w:p>
    <w:p>
      <w:pPr>
        <w:spacing w:line="360" w:lineRule="auto"/>
        <w:jc w:val="left"/>
        <w:rPr>
          <w:rFonts w:ascii="Times New Roman" w:hAnsi="Times New Roman" w:cs="Times New Roman"/>
          <w:b/>
        </w:rPr>
      </w:pPr>
      <w:r>
        <w:rPr>
          <w:rFonts w:ascii="Times New Roman" w:hAnsi="Times New Roman" w:cs="Times New Roman"/>
          <w:b/>
        </w:rPr>
        <w:t>2.</w:t>
      </w:r>
      <w:r>
        <w:rPr>
          <w:rFonts w:hint="eastAsia" w:ascii="Times New Roman" w:hAnsi="Times New Roman" w:cs="Times New Roman"/>
          <w:b/>
          <w:lang w:val="en-US" w:eastAsia="zh-CN"/>
        </w:rPr>
        <w:t>0</w:t>
      </w:r>
      <w:r>
        <w:rPr>
          <w:rFonts w:ascii="Times New Roman" w:hAnsi="Times New Roman" w:cs="Times New Roman"/>
          <w:b/>
        </w:rPr>
        <w:t>.5</w:t>
      </w:r>
      <w:r>
        <w:rPr>
          <w:rFonts w:hint="eastAsia" w:ascii="Times New Roman" w:hAnsi="Times New Roman" w:cs="Times New Roman"/>
          <w:b/>
          <w:lang w:val="en-US" w:eastAsia="zh-CN"/>
        </w:rPr>
        <w:t xml:space="preserve"> </w:t>
      </w:r>
      <w:r>
        <w:rPr>
          <w:rFonts w:ascii="Times New Roman" w:hAnsi="Times New Roman" w:cs="Times New Roman"/>
          <w:b/>
        </w:rPr>
        <w:t xml:space="preserve"> </w:t>
      </w:r>
      <w:r>
        <w:rPr>
          <w:rFonts w:hint="eastAsia" w:ascii="Times New Roman" w:hAnsi="Times New Roman" w:cs="Times New Roman"/>
          <w:b w:val="0"/>
          <w:bCs/>
        </w:rPr>
        <w:t>项目监理 project supervision</w:t>
      </w:r>
    </w:p>
    <w:p>
      <w:pPr>
        <w:spacing w:line="360" w:lineRule="auto"/>
        <w:ind w:firstLine="405"/>
        <w:jc w:val="left"/>
        <w:rPr>
          <w:rFonts w:hint="eastAsia" w:ascii="Times New Roman" w:hAnsi="Times New Roman" w:cs="Times New Roman"/>
          <w:b w:val="0"/>
          <w:bCs/>
        </w:rPr>
      </w:pPr>
      <w:r>
        <w:rPr>
          <w:rFonts w:hint="eastAsia" w:ascii="Times New Roman" w:hAnsi="Times New Roman" w:cs="Times New Roman"/>
          <w:b w:val="0"/>
          <w:bCs/>
        </w:rPr>
        <w:t>监理单位派驻工程项目负责履行委托监理合同的组织机构或责任人。 </w:t>
      </w:r>
    </w:p>
    <w:p>
      <w:pPr>
        <w:spacing w:line="360" w:lineRule="auto"/>
        <w:jc w:val="left"/>
        <w:rPr>
          <w:rFonts w:ascii="Times New Roman" w:hAnsi="Times New Roman" w:cs="Times New Roman"/>
          <w:b/>
        </w:rPr>
      </w:pPr>
      <w:r>
        <w:rPr>
          <w:rFonts w:ascii="Times New Roman" w:hAnsi="Times New Roman" w:cs="Times New Roman"/>
          <w:b/>
        </w:rPr>
        <w:t>2.</w:t>
      </w:r>
      <w:r>
        <w:rPr>
          <w:rFonts w:hint="eastAsia" w:ascii="Times New Roman" w:hAnsi="Times New Roman" w:cs="Times New Roman"/>
          <w:b/>
          <w:lang w:val="en-US" w:eastAsia="zh-CN"/>
        </w:rPr>
        <w:t>0</w:t>
      </w:r>
      <w:r>
        <w:rPr>
          <w:rFonts w:ascii="Times New Roman" w:hAnsi="Times New Roman" w:cs="Times New Roman"/>
          <w:b/>
        </w:rPr>
        <w:t xml:space="preserve">.6 </w:t>
      </w:r>
      <w:r>
        <w:rPr>
          <w:rFonts w:hint="eastAsia" w:ascii="Times New Roman" w:hAnsi="Times New Roman" w:cs="Times New Roman"/>
          <w:b/>
          <w:lang w:val="en-US" w:eastAsia="zh-CN"/>
        </w:rPr>
        <w:t xml:space="preserve"> </w:t>
      </w:r>
      <w:r>
        <w:rPr>
          <w:rFonts w:hint="eastAsia" w:ascii="Times New Roman" w:hAnsi="Times New Roman" w:cs="Times New Roman"/>
          <w:b w:val="0"/>
          <w:bCs/>
        </w:rPr>
        <w:t>工程总承包 general contracting</w:t>
      </w:r>
    </w:p>
    <w:p>
      <w:pPr>
        <w:spacing w:line="360" w:lineRule="auto"/>
        <w:ind w:firstLine="405"/>
        <w:jc w:val="left"/>
        <w:rPr>
          <w:rFonts w:hint="eastAsia" w:ascii="Times New Roman" w:hAnsi="Times New Roman" w:cs="Times New Roman"/>
          <w:b w:val="0"/>
          <w:bCs/>
        </w:rPr>
      </w:pPr>
      <w:r>
        <w:rPr>
          <w:rFonts w:hint="eastAsia" w:ascii="Times New Roman" w:hAnsi="Times New Roman" w:cs="Times New Roman"/>
          <w:b w:val="0"/>
          <w:bCs/>
        </w:rPr>
        <w:t>工程总承包企业受业主委托，按照合同约定对工程建设项目的设计、采购、施工、试运行等实行全过程或若干阶段的承包。本标准中主要是指施工总承包。</w:t>
      </w:r>
    </w:p>
    <w:p>
      <w:pPr>
        <w:spacing w:line="360" w:lineRule="auto"/>
        <w:jc w:val="left"/>
        <w:rPr>
          <w:rFonts w:ascii="Times New Roman" w:hAnsi="Times New Roman" w:cs="Times New Roman"/>
          <w:b/>
        </w:rPr>
      </w:pPr>
      <w:r>
        <w:rPr>
          <w:rFonts w:ascii="Times New Roman" w:hAnsi="Times New Roman" w:cs="Times New Roman"/>
          <w:b/>
        </w:rPr>
        <w:t>2.</w:t>
      </w:r>
      <w:r>
        <w:rPr>
          <w:rFonts w:hint="eastAsia" w:ascii="Times New Roman" w:hAnsi="Times New Roman" w:cs="Times New Roman"/>
          <w:b/>
          <w:lang w:val="en-US" w:eastAsia="zh-CN"/>
        </w:rPr>
        <w:t>0</w:t>
      </w:r>
      <w:r>
        <w:rPr>
          <w:rFonts w:ascii="Times New Roman" w:hAnsi="Times New Roman" w:cs="Times New Roman"/>
          <w:b/>
        </w:rPr>
        <w:t xml:space="preserve">.7 </w:t>
      </w:r>
      <w:r>
        <w:rPr>
          <w:rFonts w:hint="eastAsia" w:ascii="Times New Roman" w:hAnsi="Times New Roman" w:cs="Times New Roman"/>
          <w:b/>
          <w:lang w:val="en-US" w:eastAsia="zh-CN"/>
        </w:rPr>
        <w:t xml:space="preserve"> </w:t>
      </w:r>
      <w:r>
        <w:rPr>
          <w:rFonts w:hint="eastAsia" w:ascii="Times New Roman" w:hAnsi="Times New Roman" w:cs="Times New Roman"/>
          <w:b w:val="0"/>
          <w:bCs/>
        </w:rPr>
        <w:t>项目分包 project subcontracting</w:t>
      </w:r>
    </w:p>
    <w:p>
      <w:pPr>
        <w:spacing w:line="360" w:lineRule="auto"/>
        <w:ind w:firstLine="405"/>
        <w:jc w:val="left"/>
        <w:rPr>
          <w:rFonts w:hint="eastAsia" w:ascii="Times New Roman" w:hAnsi="Times New Roman" w:cs="Times New Roman"/>
          <w:b w:val="0"/>
          <w:bCs/>
        </w:rPr>
      </w:pPr>
      <w:r>
        <w:rPr>
          <w:rFonts w:hint="eastAsia" w:ascii="Times New Roman" w:hAnsi="Times New Roman" w:cs="Times New Roman"/>
          <w:b w:val="0"/>
          <w:bCs/>
        </w:rPr>
        <w:t>承包人将其承包合同中所约定工作的一部分分包给具有相应资质的企业承担，简称分包。总包对分包进行全方位监督管理。</w:t>
      </w:r>
    </w:p>
    <w:p>
      <w:pPr>
        <w:spacing w:line="360" w:lineRule="auto"/>
        <w:jc w:val="left"/>
        <w:rPr>
          <w:rFonts w:ascii="Times New Roman" w:hAnsi="Times New Roman" w:cs="Times New Roman"/>
          <w:b/>
        </w:rPr>
      </w:pPr>
      <w:r>
        <w:rPr>
          <w:rFonts w:ascii="Times New Roman" w:hAnsi="Times New Roman" w:cs="Times New Roman"/>
          <w:b/>
        </w:rPr>
        <w:t>2.</w:t>
      </w:r>
      <w:r>
        <w:rPr>
          <w:rFonts w:hint="eastAsia" w:ascii="Times New Roman" w:hAnsi="Times New Roman" w:cs="Times New Roman"/>
          <w:b/>
          <w:lang w:val="en-US" w:eastAsia="zh-CN"/>
        </w:rPr>
        <w:t>0</w:t>
      </w:r>
      <w:r>
        <w:rPr>
          <w:rFonts w:ascii="Times New Roman" w:hAnsi="Times New Roman" w:cs="Times New Roman"/>
          <w:b/>
        </w:rPr>
        <w:t>.8</w:t>
      </w:r>
      <w:r>
        <w:rPr>
          <w:rFonts w:hint="eastAsia" w:ascii="Times New Roman" w:hAnsi="Times New Roman" w:cs="Times New Roman"/>
          <w:b/>
          <w:lang w:val="en-US" w:eastAsia="zh-CN"/>
        </w:rPr>
        <w:t xml:space="preserve"> </w:t>
      </w:r>
      <w:r>
        <w:rPr>
          <w:rFonts w:ascii="Times New Roman" w:hAnsi="Times New Roman" w:cs="Times New Roman"/>
          <w:b/>
        </w:rPr>
        <w:t xml:space="preserve"> </w:t>
      </w:r>
      <w:r>
        <w:rPr>
          <w:rFonts w:hint="eastAsia" w:ascii="Times New Roman" w:hAnsi="Times New Roman" w:cs="Times New Roman"/>
          <w:b w:val="0"/>
          <w:bCs/>
        </w:rPr>
        <w:t>建设单位 construction company</w:t>
      </w:r>
    </w:p>
    <w:p>
      <w:pPr>
        <w:spacing w:line="360" w:lineRule="auto"/>
        <w:ind w:firstLine="405"/>
        <w:jc w:val="left"/>
        <w:rPr>
          <w:rFonts w:hint="eastAsia" w:ascii="Times New Roman" w:hAnsi="Times New Roman" w:cs="Times New Roman"/>
          <w:b w:val="0"/>
          <w:bCs/>
        </w:rPr>
      </w:pPr>
      <w:r>
        <w:rPr>
          <w:rFonts w:hint="eastAsia" w:ascii="Times New Roman" w:hAnsi="Times New Roman" w:cs="Times New Roman"/>
          <w:b w:val="0"/>
          <w:bCs/>
        </w:rPr>
        <w:t>又称业主，指执行国家基本建设计划，组织、督促基本建设工作，支配、使用基本建设投资的基层单位。</w:t>
      </w:r>
    </w:p>
    <w:p>
      <w:pPr>
        <w:spacing w:line="360" w:lineRule="auto"/>
        <w:jc w:val="left"/>
        <w:rPr>
          <w:rFonts w:ascii="Times New Roman" w:hAnsi="Times New Roman" w:cs="Times New Roman"/>
          <w:b/>
        </w:rPr>
      </w:pPr>
      <w:r>
        <w:rPr>
          <w:rFonts w:ascii="Times New Roman" w:hAnsi="Times New Roman" w:cs="Times New Roman"/>
          <w:b/>
        </w:rPr>
        <w:t>2.</w:t>
      </w:r>
      <w:r>
        <w:rPr>
          <w:rFonts w:hint="eastAsia" w:ascii="Times New Roman" w:hAnsi="Times New Roman" w:cs="Times New Roman"/>
          <w:b/>
          <w:lang w:val="en-US" w:eastAsia="zh-CN"/>
        </w:rPr>
        <w:t>0</w:t>
      </w:r>
      <w:r>
        <w:rPr>
          <w:rFonts w:ascii="Times New Roman" w:hAnsi="Times New Roman" w:cs="Times New Roman"/>
          <w:b/>
        </w:rPr>
        <w:t xml:space="preserve">.9  </w:t>
      </w:r>
      <w:r>
        <w:rPr>
          <w:rFonts w:hint="eastAsia" w:ascii="Times New Roman" w:hAnsi="Times New Roman" w:cs="Times New Roman"/>
          <w:b w:val="0"/>
          <w:bCs/>
        </w:rPr>
        <w:t>高温作业 high-temperature operation</w:t>
      </w:r>
    </w:p>
    <w:p>
      <w:pPr>
        <w:spacing w:line="360" w:lineRule="auto"/>
        <w:ind w:firstLine="405"/>
        <w:jc w:val="left"/>
        <w:rPr>
          <w:rFonts w:hint="eastAsia" w:ascii="Times New Roman" w:hAnsi="Times New Roman" w:cs="Times New Roman"/>
          <w:b w:val="0"/>
          <w:bCs/>
        </w:rPr>
      </w:pPr>
      <w:r>
        <w:rPr>
          <w:rFonts w:hint="eastAsia" w:ascii="Times New Roman" w:hAnsi="Times New Roman" w:cs="Times New Roman"/>
          <w:b w:val="0"/>
          <w:bCs/>
        </w:rPr>
        <w:t>有高气温、或有强烈的热辐射、或伴有高气湿相结合的异常气象条件、wbgt指数超过规定限值的作业。</w:t>
      </w:r>
    </w:p>
    <w:p>
      <w:pPr>
        <w:spacing w:line="360" w:lineRule="auto"/>
        <w:jc w:val="left"/>
        <w:rPr>
          <w:rFonts w:hint="eastAsia" w:ascii="Times New Roman" w:hAnsi="Times New Roman" w:cs="Times New Roman"/>
          <w:b w:val="0"/>
          <w:bCs/>
        </w:rPr>
      </w:pPr>
      <w:r>
        <w:rPr>
          <w:rFonts w:ascii="Times New Roman" w:hAnsi="Times New Roman" w:cs="Times New Roman"/>
          <w:b/>
        </w:rPr>
        <w:t>2.</w:t>
      </w:r>
      <w:r>
        <w:rPr>
          <w:rFonts w:hint="eastAsia" w:ascii="Times New Roman" w:hAnsi="Times New Roman" w:cs="Times New Roman"/>
          <w:b/>
          <w:lang w:val="en-US" w:eastAsia="zh-CN"/>
        </w:rPr>
        <w:t>0</w:t>
      </w:r>
      <w:r>
        <w:rPr>
          <w:rFonts w:ascii="Times New Roman" w:hAnsi="Times New Roman" w:cs="Times New Roman"/>
          <w:b/>
        </w:rPr>
        <w:t>.10</w:t>
      </w:r>
      <w:r>
        <w:rPr>
          <w:rFonts w:hint="eastAsia" w:ascii="Times New Roman" w:hAnsi="Times New Roman" w:cs="Times New Roman"/>
          <w:b/>
          <w:lang w:val="en-US" w:eastAsia="zh-CN"/>
        </w:rPr>
        <w:t xml:space="preserve"> </w:t>
      </w:r>
      <w:r>
        <w:rPr>
          <w:rFonts w:ascii="Times New Roman" w:hAnsi="Times New Roman" w:cs="Times New Roman"/>
          <w:b/>
        </w:rPr>
        <w:t xml:space="preserve"> </w:t>
      </w:r>
      <w:r>
        <w:rPr>
          <w:rFonts w:hint="eastAsia" w:ascii="Times New Roman" w:hAnsi="Times New Roman" w:cs="Times New Roman"/>
          <w:b w:val="0"/>
          <w:bCs/>
        </w:rPr>
        <w:t>生产性粉尘作业 productive dust operation</w:t>
      </w:r>
    </w:p>
    <w:p>
      <w:pPr>
        <w:spacing w:line="360" w:lineRule="auto"/>
        <w:ind w:firstLine="405"/>
        <w:jc w:val="left"/>
        <w:rPr>
          <w:rFonts w:hint="eastAsia" w:ascii="Times New Roman" w:hAnsi="Times New Roman" w:cs="Times New Roman"/>
          <w:b w:val="0"/>
          <w:bCs/>
        </w:rPr>
      </w:pPr>
      <w:r>
        <w:rPr>
          <w:rFonts w:hint="eastAsia" w:ascii="Times New Roman" w:hAnsi="Times New Roman" w:cs="Times New Roman"/>
          <w:b w:val="0"/>
          <w:bCs/>
        </w:rPr>
        <w:t>生产性粉尘作业指劳动者在劳动过程中可能接触到生产性粉尘的作业。</w:t>
      </w:r>
    </w:p>
    <w:p>
      <w:pPr>
        <w:spacing w:line="360" w:lineRule="auto"/>
        <w:jc w:val="left"/>
        <w:rPr>
          <w:rFonts w:ascii="Times New Roman" w:hAnsi="Times New Roman" w:cs="Times New Roman"/>
          <w:b/>
        </w:rPr>
      </w:pPr>
      <w:r>
        <w:rPr>
          <w:rFonts w:ascii="Times New Roman" w:hAnsi="Times New Roman" w:cs="Times New Roman"/>
          <w:b/>
        </w:rPr>
        <w:t>2.</w:t>
      </w:r>
      <w:r>
        <w:rPr>
          <w:rFonts w:hint="eastAsia" w:ascii="Times New Roman" w:hAnsi="Times New Roman" w:cs="Times New Roman"/>
          <w:b/>
          <w:lang w:val="en-US" w:eastAsia="zh-CN"/>
        </w:rPr>
        <w:t>0</w:t>
      </w:r>
      <w:r>
        <w:rPr>
          <w:rFonts w:ascii="Times New Roman" w:hAnsi="Times New Roman" w:cs="Times New Roman"/>
          <w:b/>
        </w:rPr>
        <w:t xml:space="preserve">.11 </w:t>
      </w:r>
      <w:r>
        <w:rPr>
          <w:rFonts w:hint="eastAsia" w:ascii="Times New Roman" w:hAnsi="Times New Roman" w:cs="Times New Roman"/>
          <w:b/>
          <w:lang w:val="en-US" w:eastAsia="zh-CN"/>
        </w:rPr>
        <w:t xml:space="preserve"> </w:t>
      </w:r>
      <w:r>
        <w:rPr>
          <w:rFonts w:hint="eastAsia" w:ascii="Times New Roman" w:hAnsi="Times New Roman" w:cs="Times New Roman"/>
          <w:b w:val="0"/>
          <w:bCs/>
        </w:rPr>
        <w:t>噪声作业 noise operation</w:t>
      </w:r>
    </w:p>
    <w:p>
      <w:pPr>
        <w:spacing w:line="360" w:lineRule="auto"/>
        <w:ind w:firstLine="405"/>
        <w:jc w:val="left"/>
        <w:rPr>
          <w:rFonts w:hint="eastAsia" w:ascii="Times New Roman" w:hAnsi="Times New Roman" w:cs="Times New Roman"/>
          <w:b w:val="0"/>
          <w:bCs/>
        </w:rPr>
      </w:pPr>
      <w:r>
        <w:rPr>
          <w:rFonts w:hint="eastAsia" w:ascii="Times New Roman" w:hAnsi="Times New Roman" w:cs="Times New Roman"/>
          <w:b w:val="0"/>
          <w:bCs/>
        </w:rPr>
        <w:t>噪声作业指存在有损听力、有害健康或有其他危害的声音，且8h/d或40h/周噪声暴露A等效声级≥80dB的作业。</w:t>
      </w:r>
    </w:p>
    <w:p>
      <w:pPr>
        <w:spacing w:line="360" w:lineRule="auto"/>
        <w:rPr>
          <w:rFonts w:cs="Times New Roman" w:asciiTheme="minorEastAsia" w:hAnsiTheme="minorEastAsia"/>
          <w:b/>
          <w:bCs/>
          <w:i/>
          <w:iCs/>
          <w:u w:val="single"/>
        </w:rPr>
      </w:pPr>
      <w:r>
        <w:rPr>
          <w:rFonts w:hint="eastAsia" w:cs="Times New Roman" w:asciiTheme="minorEastAsia" w:hAnsiTheme="minorEastAsia"/>
          <w:b/>
          <w:bCs/>
          <w:i/>
          <w:iCs/>
          <w:u w:val="single"/>
        </w:rPr>
        <w:t>条文说明：</w:t>
      </w:r>
      <w:r>
        <w:rPr>
          <w:rFonts w:hint="eastAsia" w:cs="Times New Roman" w:asciiTheme="minorEastAsia" w:hAnsiTheme="minorEastAsia"/>
          <w:i/>
          <w:iCs/>
          <w:u w:val="single"/>
        </w:rPr>
        <w:t>本章术语主要引自现行国家标准《建筑施工企业职业病危害防治技术规范》AQ/T4256和《建筑行业职业病危害预防控制规范》GBZ/T 211，同时也参考了其他相关标准和技术文件，定义了分包、转包的责任主体，以及容易造成误解的职业卫生术语。</w:t>
      </w:r>
      <w:r>
        <w:rPr>
          <w:rFonts w:ascii="Times New Roman" w:hAnsi="Times New Roman" w:cs="Times New Roman"/>
          <w:b/>
          <w:sz w:val="28"/>
          <w:szCs w:val="28"/>
        </w:rPr>
        <w:br w:type="page"/>
      </w:r>
    </w:p>
    <w:p>
      <w:pPr>
        <w:keepNext w:val="0"/>
        <w:keepLines w:val="0"/>
        <w:pageBreakBefore/>
        <w:widowControl/>
        <w:kinsoku/>
        <w:wordWrap/>
        <w:overflowPunct/>
        <w:topLinePunct w:val="0"/>
        <w:autoSpaceDE/>
        <w:autoSpaceDN/>
        <w:bidi w:val="0"/>
        <w:adjustRightInd/>
        <w:snapToGrid w:val="0"/>
        <w:spacing w:before="312" w:beforeLines="100" w:after="312" w:afterLines="100" w:line="240" w:lineRule="auto"/>
        <w:jc w:val="center"/>
        <w:textAlignment w:val="auto"/>
        <w:outlineLvl w:val="0"/>
        <w:rPr>
          <w:rFonts w:hint="eastAsia" w:ascii="宋体" w:hAnsi="宋体" w:eastAsia="宋体" w:cs="宋体"/>
          <w:b/>
          <w:bCs/>
          <w:color w:val="000000"/>
          <w:kern w:val="0"/>
          <w:sz w:val="28"/>
          <w:szCs w:val="28"/>
        </w:rPr>
      </w:pPr>
      <w:bookmarkStart w:id="11" w:name="_Toc101823008"/>
      <w:r>
        <w:rPr>
          <w:rFonts w:hint="eastAsia" w:ascii="宋体" w:hAnsi="宋体" w:eastAsia="宋体" w:cs="宋体"/>
          <w:b/>
          <w:bCs/>
          <w:color w:val="000000"/>
          <w:kern w:val="0"/>
          <w:sz w:val="28"/>
          <w:szCs w:val="28"/>
        </w:rPr>
        <w:t>3  基本规定</w:t>
      </w:r>
      <w:bookmarkEnd w:id="11"/>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bookmarkStart w:id="12" w:name="_Toc21121"/>
      <w:bookmarkStart w:id="13" w:name="_Toc489189279"/>
      <w:bookmarkStart w:id="14" w:name="_Toc21421"/>
      <w:bookmarkStart w:id="15" w:name="_Toc30429"/>
      <w:bookmarkStart w:id="16" w:name="_Toc8711"/>
      <w:bookmarkStart w:id="17" w:name="_Toc94050262"/>
      <w:bookmarkStart w:id="18" w:name="_Toc101823009"/>
      <w:r>
        <w:rPr>
          <w:rFonts w:hint="eastAsia" w:ascii="宋体" w:hAnsi="宋体" w:eastAsia="宋体" w:cs="宋体"/>
          <w:bCs w:val="0"/>
          <w:color w:val="000000"/>
          <w:sz w:val="21"/>
          <w:szCs w:val="21"/>
        </w:rPr>
        <w:t xml:space="preserve">3.1 </w:t>
      </w:r>
      <w:bookmarkEnd w:id="12"/>
      <w:bookmarkEnd w:id="13"/>
      <w:bookmarkEnd w:id="14"/>
      <w:bookmarkEnd w:id="15"/>
      <w:r>
        <w:rPr>
          <w:rFonts w:hint="eastAsia" w:ascii="宋体" w:hAnsi="宋体" w:eastAsia="宋体" w:cs="宋体"/>
          <w:bCs w:val="0"/>
          <w:color w:val="000000"/>
          <w:sz w:val="21"/>
          <w:szCs w:val="21"/>
        </w:rPr>
        <w:t>组织机构和规章制度</w:t>
      </w:r>
      <w:bookmarkEnd w:id="16"/>
      <w:bookmarkEnd w:id="17"/>
      <w:bookmarkEnd w:id="18"/>
    </w:p>
    <w:p>
      <w:pPr>
        <w:spacing w:line="360" w:lineRule="auto"/>
        <w:rPr>
          <w:rFonts w:ascii="Times New Roman" w:hAnsi="Times New Roman" w:eastAsia="宋体"/>
          <w:bCs/>
          <w:color w:val="000000"/>
          <w:szCs w:val="21"/>
        </w:rPr>
      </w:pPr>
      <w:r>
        <w:rPr>
          <w:rFonts w:ascii="Times New Roman" w:hAnsi="Times New Roman" w:eastAsia="宋体"/>
          <w:b/>
          <w:color w:val="000000"/>
          <w:szCs w:val="21"/>
        </w:rPr>
        <w:t xml:space="preserve">3.1.1  </w:t>
      </w:r>
      <w:r>
        <w:rPr>
          <w:rFonts w:hint="eastAsia" w:ascii="Times New Roman" w:hAnsi="Times New Roman" w:eastAsia="宋体"/>
          <w:bCs/>
          <w:color w:val="000000"/>
          <w:szCs w:val="21"/>
        </w:rPr>
        <w:t>施工企业设置或者应指定职业卫生管理机构或者组织，负责本单位的职业病防治工作。项目经理部应建立职业卫生管理机构和责任制度。项目经理为职业卫生管理第一责任人。项目经理为直接责任人。施工经理为间接责任人。实行总承包和分包模式的施工项目，应由总承包单位统一负责管理，检查督促分包单位落实。</w:t>
      </w:r>
    </w:p>
    <w:p>
      <w:pPr>
        <w:spacing w:line="360" w:lineRule="auto"/>
        <w:rPr>
          <w:rFonts w:cs="Times New Roman" w:asciiTheme="minorEastAsia" w:hAnsiTheme="minorEastAsia"/>
          <w:i/>
          <w:iCs/>
          <w:u w:val="single"/>
        </w:rPr>
      </w:pPr>
      <w:r>
        <w:rPr>
          <w:rFonts w:hint="eastAsia" w:cs="Times New Roman" w:asciiTheme="minorEastAsia" w:hAnsiTheme="minorEastAsia"/>
          <w:b/>
          <w:bCs/>
          <w:i/>
          <w:iCs/>
          <w:u w:val="single"/>
        </w:rPr>
        <w:t>条文说明：</w:t>
      </w:r>
      <w:r>
        <w:rPr>
          <w:rFonts w:hint="eastAsia" w:cs="Times New Roman" w:asciiTheme="minorEastAsia" w:hAnsiTheme="minorEastAsia"/>
          <w:i/>
          <w:iCs/>
          <w:u w:val="single"/>
        </w:rPr>
        <w:t>本条参考现有建筑施工职业卫生标准，规定了职业卫生管理机构组织以及第一责任人和直接责任人。另外，特别指出总承包和分包的情况下，由总承包单位统一负责管理，检查督促分包单位落实，明确了各自的职责，并要求在合同中增加职业卫生有关的职责和义务。</w:t>
      </w:r>
    </w:p>
    <w:p>
      <w:pPr>
        <w:spacing w:line="360" w:lineRule="auto"/>
        <w:rPr>
          <w:rFonts w:ascii="Times New Roman" w:hAnsi="Times New Roman" w:eastAsia="宋体"/>
          <w:bCs/>
          <w:color w:val="000000"/>
          <w:szCs w:val="21"/>
        </w:rPr>
      </w:pPr>
      <w:r>
        <w:rPr>
          <w:rFonts w:ascii="Times New Roman" w:hAnsi="Times New Roman" w:eastAsia="宋体"/>
          <w:b/>
          <w:color w:val="000000"/>
          <w:szCs w:val="21"/>
        </w:rPr>
        <w:t xml:space="preserve">3.1.2  </w:t>
      </w:r>
      <w:r>
        <w:rPr>
          <w:rFonts w:hint="eastAsia" w:ascii="Times New Roman" w:hAnsi="Times New Roman" w:eastAsia="宋体"/>
          <w:bCs/>
          <w:color w:val="000000"/>
          <w:szCs w:val="21"/>
        </w:rPr>
        <w:t>现场安全员、施工员</w:t>
      </w:r>
      <w:bookmarkStart w:id="19" w:name="_Hlk90962034"/>
      <w:r>
        <w:rPr>
          <w:rFonts w:hint="eastAsia" w:ascii="Times New Roman" w:hAnsi="Times New Roman" w:eastAsia="宋体"/>
          <w:bCs/>
          <w:color w:val="000000"/>
          <w:szCs w:val="21"/>
        </w:rPr>
        <w:t>或取得市级及以上职业健康培训合格的管理人员</w:t>
      </w:r>
      <w:bookmarkEnd w:id="19"/>
      <w:r>
        <w:rPr>
          <w:rFonts w:hint="eastAsia" w:ascii="Times New Roman" w:hAnsi="Times New Roman" w:eastAsia="宋体"/>
          <w:bCs/>
          <w:color w:val="000000"/>
          <w:szCs w:val="21"/>
        </w:rPr>
        <w:t>可作为专职或兼职职业卫生管理员。建筑施工项目配备职业卫生管理人员可参考表</w:t>
      </w:r>
      <w:r>
        <w:rPr>
          <w:rFonts w:ascii="Times New Roman" w:hAnsi="Times New Roman" w:eastAsia="宋体"/>
          <w:bCs/>
          <w:color w:val="000000"/>
          <w:szCs w:val="21"/>
        </w:rPr>
        <w:t>3.1.</w:t>
      </w:r>
      <w:r>
        <w:rPr>
          <w:rFonts w:hint="eastAsia" w:ascii="Times New Roman" w:hAnsi="Times New Roman" w:eastAsia="宋体"/>
          <w:bCs/>
          <w:color w:val="000000"/>
          <w:szCs w:val="21"/>
          <w:lang w:val="en-US" w:eastAsia="zh-CN"/>
        </w:rPr>
        <w:t>2</w:t>
      </w:r>
      <w:r>
        <w:rPr>
          <w:rFonts w:hint="eastAsia" w:ascii="Times New Roman" w:hAnsi="Times New Roman" w:eastAsia="宋体"/>
          <w:bCs/>
          <w:color w:val="000000"/>
          <w:szCs w:val="21"/>
        </w:rPr>
        <w:t>。</w:t>
      </w:r>
    </w:p>
    <w:p>
      <w:pPr>
        <w:keepNext w:val="0"/>
        <w:keepLines w:val="0"/>
        <w:pageBreakBefore w:val="0"/>
        <w:widowControl w:val="0"/>
        <w:kinsoku/>
        <w:wordWrap/>
        <w:overflowPunct/>
        <w:topLinePunct w:val="0"/>
        <w:autoSpaceDE/>
        <w:autoSpaceDN/>
        <w:bidi w:val="0"/>
        <w:adjustRightInd/>
        <w:snapToGrid/>
        <w:spacing w:before="312" w:beforeLines="100" w:after="313" w:afterLines="100" w:line="240" w:lineRule="auto"/>
        <w:jc w:val="center"/>
        <w:textAlignment w:val="auto"/>
        <w:rPr>
          <w:rFonts w:ascii="Times New Roman" w:hAnsi="Times New Roman" w:eastAsia="宋体"/>
          <w:b/>
          <w:color w:val="000000"/>
          <w:szCs w:val="21"/>
        </w:rPr>
      </w:pPr>
      <w:r>
        <w:rPr>
          <w:rFonts w:hint="eastAsia" w:ascii="Times New Roman" w:hAnsi="Times New Roman" w:eastAsia="宋体"/>
          <w:b/>
          <w:color w:val="000000"/>
          <w:szCs w:val="21"/>
        </w:rPr>
        <w:t>表3.1.</w:t>
      </w:r>
      <w:r>
        <w:rPr>
          <w:rFonts w:hint="eastAsia" w:ascii="Times New Roman" w:hAnsi="Times New Roman" w:eastAsia="宋体"/>
          <w:b/>
          <w:color w:val="000000"/>
          <w:szCs w:val="21"/>
          <w:lang w:val="en-US" w:eastAsia="zh-CN"/>
        </w:rPr>
        <w:t>2</w:t>
      </w:r>
      <w:r>
        <w:rPr>
          <w:rFonts w:hint="eastAsia" w:ascii="Times New Roman" w:hAnsi="Times New Roman" w:eastAsia="宋体"/>
          <w:b/>
          <w:color w:val="000000"/>
          <w:szCs w:val="21"/>
        </w:rPr>
        <w:t xml:space="preserve">  </w:t>
      </w:r>
      <w:bookmarkStart w:id="20" w:name="_Hlk528009852"/>
      <w:r>
        <w:rPr>
          <w:rFonts w:hint="eastAsia" w:ascii="Times New Roman" w:hAnsi="Times New Roman" w:eastAsia="宋体"/>
          <w:b/>
          <w:color w:val="000000"/>
          <w:szCs w:val="21"/>
        </w:rPr>
        <w:t>建筑施工项目配备职业卫生管理人员参照表</w:t>
      </w:r>
      <w:bookmarkEnd w:id="20"/>
    </w:p>
    <w:tbl>
      <w:tblPr>
        <w:tblStyle w:val="21"/>
        <w:tblW w:w="8572"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3245"/>
        <w:gridCol w:w="532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86" w:hRule="atLeast"/>
          <w:tblHeader/>
          <w:jc w:val="center"/>
        </w:trPr>
        <w:tc>
          <w:tcPr>
            <w:tcW w:w="3245" w:type="dxa"/>
            <w:vAlign w:val="center"/>
          </w:tcPr>
          <w:p>
            <w:pPr>
              <w:pStyle w:val="36"/>
              <w:spacing w:line="360" w:lineRule="auto"/>
              <w:ind w:firstLine="0" w:firstLineChars="0"/>
              <w:jc w:val="center"/>
              <w:rPr>
                <w:rFonts w:ascii="Times New Roman" w:hAnsi="Times New Roman" w:eastAsia="宋体"/>
                <w:bCs/>
                <w:color w:val="000000"/>
                <w:szCs w:val="21"/>
              </w:rPr>
            </w:pPr>
            <w:r>
              <w:rPr>
                <w:rFonts w:hint="eastAsia" w:ascii="Times New Roman" w:hAnsi="Times New Roman" w:eastAsia="宋体"/>
                <w:bCs/>
                <w:color w:val="000000"/>
                <w:szCs w:val="21"/>
              </w:rPr>
              <w:t>规模</w:t>
            </w:r>
          </w:p>
        </w:tc>
        <w:tc>
          <w:tcPr>
            <w:tcW w:w="5327" w:type="dxa"/>
          </w:tcPr>
          <w:p>
            <w:pPr>
              <w:pStyle w:val="36"/>
              <w:spacing w:line="360" w:lineRule="auto"/>
              <w:ind w:firstLine="0" w:firstLineChars="0"/>
              <w:jc w:val="center"/>
              <w:rPr>
                <w:rFonts w:ascii="Times New Roman" w:hAnsi="Times New Roman" w:eastAsia="宋体"/>
                <w:bCs/>
                <w:color w:val="000000"/>
                <w:szCs w:val="21"/>
              </w:rPr>
            </w:pPr>
            <w:r>
              <w:rPr>
                <w:rFonts w:hint="eastAsia" w:ascii="Times New Roman" w:hAnsi="Times New Roman" w:eastAsia="宋体"/>
                <w:bCs/>
                <w:color w:val="000000"/>
                <w:szCs w:val="21"/>
              </w:rPr>
              <w:t>职业卫生管理人员参考配备人数</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3245" w:type="dxa"/>
          </w:tcPr>
          <w:p>
            <w:pPr>
              <w:pStyle w:val="36"/>
              <w:spacing w:line="360" w:lineRule="auto"/>
              <w:ind w:firstLine="0" w:firstLineChars="0"/>
              <w:jc w:val="center"/>
              <w:rPr>
                <w:rFonts w:ascii="Times New Roman" w:hAnsi="Times New Roman" w:eastAsia="宋体"/>
                <w:bCs/>
                <w:color w:val="000000"/>
                <w:szCs w:val="21"/>
              </w:rPr>
            </w:pPr>
            <w:r>
              <w:rPr>
                <w:rFonts w:hint="eastAsia" w:ascii="Times New Roman" w:hAnsi="Times New Roman" w:eastAsia="宋体"/>
                <w:bCs/>
                <w:color w:val="000000"/>
                <w:szCs w:val="21"/>
              </w:rPr>
              <w:t>50人以下</w:t>
            </w:r>
          </w:p>
        </w:tc>
        <w:tc>
          <w:tcPr>
            <w:tcW w:w="5327" w:type="dxa"/>
          </w:tcPr>
          <w:p>
            <w:pPr>
              <w:pStyle w:val="36"/>
              <w:spacing w:line="360" w:lineRule="auto"/>
              <w:ind w:firstLine="0" w:firstLineChars="0"/>
              <w:jc w:val="center"/>
              <w:rPr>
                <w:rFonts w:ascii="Times New Roman" w:hAnsi="Times New Roman" w:eastAsia="宋体"/>
                <w:bCs/>
                <w:color w:val="000000"/>
                <w:szCs w:val="21"/>
              </w:rPr>
            </w:pPr>
            <w:r>
              <w:rPr>
                <w:rFonts w:hint="eastAsia" w:ascii="Times New Roman" w:hAnsi="Times New Roman" w:eastAsia="宋体"/>
                <w:bCs/>
                <w:color w:val="000000"/>
                <w:szCs w:val="21"/>
              </w:rPr>
              <w:t>大于等于1人（兼职或专职）</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3245" w:type="dxa"/>
          </w:tcPr>
          <w:p>
            <w:pPr>
              <w:pStyle w:val="36"/>
              <w:spacing w:line="360" w:lineRule="auto"/>
              <w:ind w:firstLine="0" w:firstLineChars="0"/>
              <w:jc w:val="center"/>
              <w:rPr>
                <w:rFonts w:ascii="Times New Roman" w:hAnsi="Times New Roman" w:eastAsia="宋体"/>
                <w:bCs/>
                <w:color w:val="000000"/>
                <w:szCs w:val="21"/>
              </w:rPr>
            </w:pPr>
            <w:r>
              <w:rPr>
                <w:rFonts w:hint="eastAsia" w:ascii="Times New Roman" w:hAnsi="Times New Roman" w:eastAsia="宋体"/>
                <w:bCs/>
                <w:color w:val="000000"/>
                <w:szCs w:val="21"/>
              </w:rPr>
              <w:t>50人至200人</w:t>
            </w:r>
          </w:p>
        </w:tc>
        <w:tc>
          <w:tcPr>
            <w:tcW w:w="5327" w:type="dxa"/>
          </w:tcPr>
          <w:p>
            <w:pPr>
              <w:pStyle w:val="36"/>
              <w:spacing w:line="360" w:lineRule="auto"/>
              <w:ind w:firstLine="0" w:firstLineChars="0"/>
              <w:jc w:val="center"/>
              <w:rPr>
                <w:rFonts w:ascii="Times New Roman" w:hAnsi="Times New Roman" w:eastAsia="宋体"/>
                <w:bCs/>
                <w:color w:val="000000"/>
                <w:szCs w:val="21"/>
              </w:rPr>
            </w:pPr>
            <w:r>
              <w:rPr>
                <w:rFonts w:hint="eastAsia" w:ascii="Times New Roman" w:hAnsi="Times New Roman" w:eastAsia="宋体"/>
                <w:bCs/>
                <w:color w:val="000000"/>
                <w:szCs w:val="21"/>
              </w:rPr>
              <w:t>大于等于2人（兼职或专职）</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26" w:hRule="atLeast"/>
          <w:jc w:val="center"/>
        </w:trPr>
        <w:tc>
          <w:tcPr>
            <w:tcW w:w="3245" w:type="dxa"/>
          </w:tcPr>
          <w:p>
            <w:pPr>
              <w:pStyle w:val="36"/>
              <w:spacing w:line="360" w:lineRule="auto"/>
              <w:ind w:firstLine="0" w:firstLineChars="0"/>
              <w:jc w:val="center"/>
              <w:rPr>
                <w:rFonts w:ascii="Times New Roman" w:hAnsi="Times New Roman" w:eastAsia="宋体"/>
                <w:bCs/>
                <w:color w:val="000000"/>
                <w:szCs w:val="21"/>
              </w:rPr>
            </w:pPr>
            <w:r>
              <w:rPr>
                <w:rFonts w:hint="eastAsia" w:ascii="Times New Roman" w:hAnsi="Times New Roman" w:eastAsia="宋体"/>
                <w:bCs/>
                <w:color w:val="000000"/>
                <w:szCs w:val="21"/>
              </w:rPr>
              <w:t>200人以上</w:t>
            </w:r>
          </w:p>
        </w:tc>
        <w:tc>
          <w:tcPr>
            <w:tcW w:w="5327" w:type="dxa"/>
          </w:tcPr>
          <w:p>
            <w:pPr>
              <w:pStyle w:val="36"/>
              <w:spacing w:line="360" w:lineRule="auto"/>
              <w:ind w:firstLine="0" w:firstLineChars="0"/>
              <w:jc w:val="center"/>
              <w:rPr>
                <w:rFonts w:ascii="Times New Roman" w:hAnsi="Times New Roman" w:eastAsia="宋体"/>
                <w:bCs/>
                <w:color w:val="000000"/>
                <w:szCs w:val="21"/>
              </w:rPr>
            </w:pPr>
            <w:r>
              <w:rPr>
                <w:rFonts w:hint="eastAsia" w:ascii="Times New Roman" w:hAnsi="Times New Roman" w:eastAsia="宋体"/>
                <w:bCs/>
                <w:color w:val="000000"/>
                <w:szCs w:val="21"/>
              </w:rPr>
              <w:t>大于等于2人（专职）</w:t>
            </w:r>
          </w:p>
        </w:tc>
      </w:tr>
    </w:tbl>
    <w:p>
      <w:pPr>
        <w:spacing w:line="400" w:lineRule="exact"/>
        <w:rPr>
          <w:rFonts w:ascii="Times New Roman" w:hAnsi="Times New Roman" w:eastAsia="宋体" w:cs="仿宋_GB2312"/>
          <w:b/>
          <w:i/>
          <w:color w:val="000000"/>
          <w:szCs w:val="21"/>
        </w:rPr>
      </w:pPr>
    </w:p>
    <w:p>
      <w:pPr>
        <w:spacing w:line="360" w:lineRule="auto"/>
        <w:rPr>
          <w:rFonts w:cs="Times New Roman" w:asciiTheme="minorEastAsia" w:hAnsiTheme="minorEastAsia"/>
          <w:bCs/>
          <w:i/>
          <w:iCs/>
          <w:u w:val="single"/>
        </w:rPr>
      </w:pPr>
      <w:r>
        <w:rPr>
          <w:rFonts w:hint="eastAsia" w:cs="Times New Roman" w:asciiTheme="minorEastAsia" w:hAnsiTheme="minorEastAsia"/>
          <w:b/>
          <w:i/>
          <w:iCs/>
          <w:u w:val="single"/>
        </w:rPr>
        <w:t>条文说明：</w:t>
      </w:r>
      <w:r>
        <w:rPr>
          <w:rFonts w:hint="eastAsia" w:cs="Times New Roman" w:asciiTheme="minorEastAsia" w:hAnsiTheme="minorEastAsia"/>
          <w:bCs/>
          <w:i/>
          <w:iCs/>
          <w:u w:val="single"/>
        </w:rPr>
        <w:t>本条参考现有建筑施工职业卫生标准，以表格的形式给出不同规模建筑施工项目配备职业卫生管理人员的参考人数。为了便于实际操作，同现场安全有关的管理人员一同落实职业卫生管理，因此现场安全员、施工员、取得市级及以上职业健康培训合格的人员可作为专职或兼职职业卫生管理人员。</w:t>
      </w:r>
    </w:p>
    <w:p>
      <w:pPr>
        <w:spacing w:line="360" w:lineRule="auto"/>
        <w:rPr>
          <w:rFonts w:hint="eastAsia" w:ascii="Times New Roman" w:hAnsi="Times New Roman" w:eastAsia="宋体"/>
          <w:bCs/>
          <w:color w:val="000000"/>
          <w:szCs w:val="21"/>
        </w:rPr>
      </w:pPr>
      <w:r>
        <w:rPr>
          <w:rFonts w:ascii="Times New Roman" w:hAnsi="Times New Roman" w:eastAsia="宋体"/>
          <w:b/>
          <w:color w:val="000000"/>
          <w:szCs w:val="21"/>
        </w:rPr>
        <w:t xml:space="preserve">3.1.3  </w:t>
      </w:r>
      <w:r>
        <w:rPr>
          <w:rFonts w:hint="eastAsia" w:ascii="Times New Roman" w:hAnsi="Times New Roman" w:eastAsia="宋体"/>
          <w:bCs/>
          <w:color w:val="000000"/>
          <w:szCs w:val="21"/>
        </w:rPr>
        <w:t>项目经理部、</w:t>
      </w:r>
      <w:bookmarkStart w:id="21" w:name="_Hlk90935337"/>
      <w:r>
        <w:rPr>
          <w:rFonts w:hint="eastAsia" w:ascii="Times New Roman" w:hAnsi="Times New Roman" w:eastAsia="宋体"/>
          <w:bCs/>
          <w:color w:val="000000"/>
          <w:szCs w:val="21"/>
        </w:rPr>
        <w:t>施工企业</w:t>
      </w:r>
      <w:bookmarkEnd w:id="21"/>
      <w:r>
        <w:rPr>
          <w:rFonts w:hint="eastAsia" w:ascii="Times New Roman" w:hAnsi="Times New Roman" w:eastAsia="宋体"/>
          <w:bCs/>
          <w:color w:val="000000"/>
          <w:szCs w:val="21"/>
        </w:rPr>
        <w:t>应当制定职业病防治计划和实施方案，明确目的、目标、措施、保障条件等内容。实施方案应当包括时间进度、实施步骤、技术要求、验收方法。</w:t>
      </w:r>
    </w:p>
    <w:p>
      <w:pPr>
        <w:spacing w:line="360" w:lineRule="auto"/>
        <w:rPr>
          <w:rFonts w:ascii="Times New Roman" w:hAnsi="Times New Roman" w:eastAsia="宋体"/>
          <w:b/>
          <w:color w:val="000000"/>
          <w:szCs w:val="21"/>
          <w:highlight w:val="none"/>
        </w:rPr>
      </w:pPr>
      <w:r>
        <w:rPr>
          <w:rFonts w:hint="eastAsia" w:cs="Times New Roman" w:asciiTheme="minorEastAsia" w:hAnsiTheme="minorEastAsia"/>
          <w:b/>
          <w:i/>
          <w:iCs/>
          <w:highlight w:val="none"/>
          <w:u w:val="single"/>
        </w:rPr>
        <w:t>条文说明：</w:t>
      </w:r>
      <w:r>
        <w:rPr>
          <w:rFonts w:hint="eastAsia" w:cs="Times New Roman" w:asciiTheme="minorEastAsia" w:hAnsiTheme="minorEastAsia"/>
          <w:bCs/>
          <w:i/>
          <w:iCs/>
          <w:highlight w:val="none"/>
          <w:u w:val="single"/>
        </w:rPr>
        <w:t>本条</w:t>
      </w:r>
      <w:r>
        <w:rPr>
          <w:rFonts w:hint="eastAsia" w:cs="Times New Roman" w:asciiTheme="minorEastAsia" w:hAnsiTheme="minorEastAsia"/>
          <w:bCs/>
          <w:i/>
          <w:iCs/>
          <w:highlight w:val="none"/>
          <w:u w:val="single"/>
          <w:lang w:eastAsia="zh-CN"/>
        </w:rPr>
        <w:t>依据《职业病防治法》《工作场所职业卫生管理规定》，明确了职业病防治计划和实施方案的具体内容</w:t>
      </w:r>
      <w:r>
        <w:rPr>
          <w:rFonts w:hint="eastAsia" w:cs="Times New Roman" w:asciiTheme="minorEastAsia" w:hAnsiTheme="minorEastAsia"/>
          <w:bCs/>
          <w:i/>
          <w:iCs/>
          <w:highlight w:val="none"/>
          <w:u w:val="single"/>
        </w:rPr>
        <w:t>。</w:t>
      </w:r>
    </w:p>
    <w:p>
      <w:pPr>
        <w:spacing w:line="360" w:lineRule="auto"/>
        <w:rPr>
          <w:rFonts w:ascii="Times New Roman" w:hAnsi="Times New Roman" w:eastAsia="宋体"/>
          <w:bCs/>
          <w:color w:val="000000"/>
          <w:szCs w:val="21"/>
        </w:rPr>
      </w:pPr>
      <w:r>
        <w:rPr>
          <w:rFonts w:ascii="Times New Roman" w:hAnsi="Times New Roman" w:eastAsia="宋体"/>
          <w:b/>
          <w:color w:val="000000"/>
          <w:szCs w:val="21"/>
        </w:rPr>
        <w:t xml:space="preserve">3.1.4  </w:t>
      </w:r>
      <w:r>
        <w:rPr>
          <w:rFonts w:hint="eastAsia" w:ascii="Times New Roman" w:hAnsi="Times New Roman" w:eastAsia="宋体"/>
          <w:bCs/>
          <w:color w:val="000000"/>
          <w:szCs w:val="21"/>
        </w:rPr>
        <w:t>项目经理部、施工企业应制定书面的职业卫生管理制度。管理制度应明确职业卫生管理责任人、组织机构及其职责、人员配备、经费保障等方面，且有相应措施监督各项制度的贯彻落实。建立、健全下列职业卫生管理制度和操作规程：</w:t>
      </w:r>
    </w:p>
    <w:p>
      <w:pPr>
        <w:spacing w:line="360" w:lineRule="auto"/>
        <w:ind w:firstLine="558" w:firstLineChars="266"/>
        <w:rPr>
          <w:rFonts w:ascii="Times New Roman" w:hAnsi="Times New Roman" w:eastAsia="宋体"/>
          <w:bCs/>
          <w:color w:val="000000"/>
          <w:szCs w:val="21"/>
        </w:rPr>
      </w:pPr>
      <w:r>
        <w:rPr>
          <w:rFonts w:hint="eastAsia" w:ascii="Times New Roman" w:hAnsi="Times New Roman" w:eastAsia="宋体"/>
          <w:bCs/>
          <w:color w:val="000000"/>
          <w:szCs w:val="21"/>
        </w:rPr>
        <w:t>1</w:t>
      </w:r>
      <w:r>
        <w:rPr>
          <w:rFonts w:ascii="Times New Roman" w:hAnsi="Times New Roman" w:eastAsia="宋体"/>
          <w:bCs/>
          <w:color w:val="000000"/>
          <w:szCs w:val="21"/>
        </w:rPr>
        <w:t xml:space="preserve"> </w:t>
      </w:r>
      <w:r>
        <w:rPr>
          <w:rFonts w:hint="eastAsia" w:ascii="Times New Roman" w:hAnsi="Times New Roman" w:eastAsia="宋体"/>
          <w:bCs/>
          <w:color w:val="000000"/>
          <w:szCs w:val="21"/>
        </w:rPr>
        <w:t>职业病危害防治责任制度；</w:t>
      </w:r>
    </w:p>
    <w:p>
      <w:pPr>
        <w:spacing w:line="360" w:lineRule="auto"/>
        <w:ind w:firstLine="558" w:firstLineChars="266"/>
        <w:rPr>
          <w:rFonts w:ascii="Times New Roman" w:hAnsi="Times New Roman" w:eastAsia="宋体"/>
          <w:bCs/>
          <w:color w:val="000000"/>
          <w:szCs w:val="21"/>
        </w:rPr>
      </w:pPr>
      <w:r>
        <w:rPr>
          <w:rFonts w:hint="eastAsia" w:ascii="Times New Roman" w:hAnsi="Times New Roman" w:eastAsia="宋体"/>
          <w:bCs/>
          <w:color w:val="000000"/>
          <w:szCs w:val="21"/>
        </w:rPr>
        <w:t>2 职业病危害警示与告知制度；</w:t>
      </w:r>
    </w:p>
    <w:p>
      <w:pPr>
        <w:spacing w:line="360" w:lineRule="auto"/>
        <w:ind w:firstLine="558" w:firstLineChars="266"/>
        <w:rPr>
          <w:rFonts w:ascii="Times New Roman" w:hAnsi="Times New Roman" w:eastAsia="宋体"/>
          <w:bCs/>
          <w:color w:val="000000"/>
          <w:szCs w:val="21"/>
        </w:rPr>
      </w:pPr>
      <w:r>
        <w:rPr>
          <w:rFonts w:hint="eastAsia" w:ascii="Times New Roman" w:hAnsi="Times New Roman" w:eastAsia="宋体"/>
          <w:bCs/>
          <w:color w:val="000000"/>
          <w:szCs w:val="21"/>
        </w:rPr>
        <w:t>3 职业病危害项目申报制度；</w:t>
      </w:r>
    </w:p>
    <w:p>
      <w:pPr>
        <w:spacing w:line="360" w:lineRule="auto"/>
        <w:ind w:firstLine="558" w:firstLineChars="266"/>
        <w:rPr>
          <w:rFonts w:ascii="Times New Roman" w:hAnsi="Times New Roman" w:eastAsia="宋体"/>
          <w:bCs/>
          <w:color w:val="000000"/>
          <w:szCs w:val="21"/>
        </w:rPr>
      </w:pPr>
      <w:r>
        <w:rPr>
          <w:rFonts w:hint="eastAsia" w:ascii="Times New Roman" w:hAnsi="Times New Roman" w:eastAsia="宋体"/>
          <w:bCs/>
          <w:color w:val="000000"/>
          <w:szCs w:val="21"/>
        </w:rPr>
        <w:t>4 职业病防治宣传教育培训制度；</w:t>
      </w:r>
    </w:p>
    <w:p>
      <w:pPr>
        <w:spacing w:line="360" w:lineRule="auto"/>
        <w:ind w:firstLine="558" w:firstLineChars="266"/>
        <w:rPr>
          <w:rFonts w:ascii="Times New Roman" w:hAnsi="Times New Roman" w:eastAsia="宋体"/>
          <w:bCs/>
          <w:color w:val="000000"/>
          <w:szCs w:val="21"/>
        </w:rPr>
      </w:pPr>
      <w:r>
        <w:rPr>
          <w:rFonts w:hint="eastAsia" w:ascii="Times New Roman" w:hAnsi="Times New Roman" w:eastAsia="宋体"/>
          <w:bCs/>
          <w:color w:val="000000"/>
          <w:szCs w:val="21"/>
        </w:rPr>
        <w:t>5 职业病防护设施维护检修制度；</w:t>
      </w:r>
    </w:p>
    <w:p>
      <w:pPr>
        <w:spacing w:line="360" w:lineRule="auto"/>
        <w:ind w:firstLine="558" w:firstLineChars="266"/>
        <w:rPr>
          <w:rFonts w:ascii="Times New Roman" w:hAnsi="Times New Roman" w:eastAsia="宋体"/>
          <w:bCs/>
          <w:color w:val="000000"/>
          <w:szCs w:val="21"/>
        </w:rPr>
      </w:pPr>
      <w:r>
        <w:rPr>
          <w:rFonts w:hint="eastAsia" w:ascii="Times New Roman" w:hAnsi="Times New Roman" w:eastAsia="宋体"/>
          <w:bCs/>
          <w:color w:val="000000"/>
          <w:szCs w:val="21"/>
        </w:rPr>
        <w:t>6 职业病防护用品管理制度；</w:t>
      </w:r>
    </w:p>
    <w:p>
      <w:pPr>
        <w:spacing w:line="360" w:lineRule="auto"/>
        <w:ind w:firstLine="558" w:firstLineChars="266"/>
        <w:rPr>
          <w:rFonts w:ascii="Times New Roman" w:hAnsi="Times New Roman" w:eastAsia="宋体"/>
          <w:bCs/>
          <w:color w:val="000000"/>
          <w:szCs w:val="21"/>
        </w:rPr>
      </w:pPr>
      <w:r>
        <w:rPr>
          <w:rFonts w:hint="eastAsia" w:ascii="Times New Roman" w:hAnsi="Times New Roman" w:eastAsia="宋体"/>
          <w:bCs/>
          <w:color w:val="000000"/>
          <w:szCs w:val="21"/>
        </w:rPr>
        <w:t>7 职业病危害监测及评价管理制度；</w:t>
      </w:r>
    </w:p>
    <w:p>
      <w:pPr>
        <w:spacing w:line="360" w:lineRule="auto"/>
        <w:ind w:firstLine="558" w:firstLineChars="266"/>
        <w:rPr>
          <w:rFonts w:ascii="Times New Roman" w:hAnsi="Times New Roman" w:eastAsia="宋体"/>
          <w:bCs/>
          <w:color w:val="000000"/>
          <w:szCs w:val="21"/>
        </w:rPr>
      </w:pPr>
      <w:r>
        <w:rPr>
          <w:rFonts w:hint="eastAsia" w:ascii="Times New Roman" w:hAnsi="Times New Roman" w:eastAsia="宋体"/>
          <w:bCs/>
          <w:color w:val="000000"/>
          <w:szCs w:val="21"/>
        </w:rPr>
        <w:t>8 建设项目职业病防护设施“三同时”管理制度；</w:t>
      </w:r>
    </w:p>
    <w:p>
      <w:pPr>
        <w:spacing w:line="360" w:lineRule="auto"/>
        <w:ind w:firstLine="558" w:firstLineChars="266"/>
        <w:rPr>
          <w:rFonts w:ascii="Times New Roman" w:hAnsi="Times New Roman" w:eastAsia="宋体"/>
          <w:bCs/>
          <w:color w:val="000000"/>
          <w:szCs w:val="21"/>
        </w:rPr>
      </w:pPr>
      <w:r>
        <w:rPr>
          <w:rFonts w:hint="eastAsia" w:ascii="Times New Roman" w:hAnsi="Times New Roman" w:eastAsia="宋体"/>
          <w:bCs/>
          <w:color w:val="000000"/>
          <w:szCs w:val="21"/>
        </w:rPr>
        <w:t>9 劳动者职业健康监护及其档案管理制度；</w:t>
      </w:r>
    </w:p>
    <w:p>
      <w:pPr>
        <w:spacing w:line="360" w:lineRule="auto"/>
        <w:ind w:firstLine="558" w:firstLineChars="266"/>
        <w:rPr>
          <w:rFonts w:ascii="Times New Roman" w:hAnsi="Times New Roman" w:eastAsia="宋体"/>
          <w:bCs/>
          <w:color w:val="000000"/>
          <w:szCs w:val="21"/>
        </w:rPr>
      </w:pPr>
      <w:r>
        <w:rPr>
          <w:rFonts w:hint="eastAsia" w:ascii="Times New Roman" w:hAnsi="Times New Roman" w:eastAsia="宋体"/>
          <w:bCs/>
          <w:color w:val="000000"/>
          <w:szCs w:val="21"/>
        </w:rPr>
        <w:t>10 职业病危害事故处置与报告制度；</w:t>
      </w:r>
    </w:p>
    <w:p>
      <w:pPr>
        <w:spacing w:line="360" w:lineRule="auto"/>
        <w:ind w:firstLine="558" w:firstLineChars="266"/>
        <w:rPr>
          <w:rFonts w:ascii="Times New Roman" w:hAnsi="Times New Roman" w:eastAsia="宋体"/>
          <w:bCs/>
          <w:color w:val="000000"/>
          <w:szCs w:val="21"/>
        </w:rPr>
      </w:pPr>
      <w:r>
        <w:rPr>
          <w:rFonts w:hint="eastAsia" w:ascii="Times New Roman" w:hAnsi="Times New Roman" w:eastAsia="宋体"/>
          <w:bCs/>
          <w:color w:val="000000"/>
          <w:szCs w:val="21"/>
        </w:rPr>
        <w:t>11 职业病危害应急救援与管理制度；</w:t>
      </w:r>
    </w:p>
    <w:p>
      <w:pPr>
        <w:spacing w:line="360" w:lineRule="auto"/>
        <w:ind w:firstLine="558" w:firstLineChars="266"/>
        <w:rPr>
          <w:rFonts w:ascii="Times New Roman" w:hAnsi="Times New Roman" w:eastAsia="宋体"/>
          <w:bCs/>
          <w:color w:val="000000"/>
          <w:szCs w:val="21"/>
        </w:rPr>
      </w:pPr>
      <w:r>
        <w:rPr>
          <w:rFonts w:hint="eastAsia" w:ascii="Times New Roman" w:hAnsi="Times New Roman" w:eastAsia="宋体"/>
          <w:bCs/>
          <w:color w:val="000000"/>
          <w:szCs w:val="21"/>
        </w:rPr>
        <w:t>12 岗位职业卫生操作规程；</w:t>
      </w:r>
    </w:p>
    <w:p>
      <w:pPr>
        <w:spacing w:line="360" w:lineRule="auto"/>
        <w:ind w:firstLine="558" w:firstLineChars="266"/>
        <w:rPr>
          <w:rFonts w:hint="eastAsia" w:ascii="Times New Roman" w:hAnsi="Times New Roman" w:eastAsia="宋体"/>
          <w:bCs/>
          <w:color w:val="000000"/>
          <w:szCs w:val="21"/>
        </w:rPr>
      </w:pPr>
      <w:r>
        <w:rPr>
          <w:rFonts w:hint="eastAsia" w:ascii="Times New Roman" w:hAnsi="Times New Roman" w:eastAsia="宋体"/>
          <w:bCs/>
          <w:color w:val="000000"/>
          <w:szCs w:val="21"/>
        </w:rPr>
        <w:t>13 法律、法规、规章规定的其他职业病防治制度。</w:t>
      </w:r>
    </w:p>
    <w:p>
      <w:pPr>
        <w:spacing w:line="360" w:lineRule="auto"/>
        <w:rPr>
          <w:rFonts w:ascii="Times New Roman" w:hAnsi="Times New Roman" w:eastAsia="宋体"/>
          <w:b/>
          <w:color w:val="000000"/>
          <w:szCs w:val="21"/>
        </w:rPr>
      </w:pPr>
      <w:r>
        <w:rPr>
          <w:rFonts w:ascii="Times New Roman" w:hAnsi="Times New Roman" w:eastAsia="宋体"/>
          <w:b/>
          <w:color w:val="000000"/>
          <w:szCs w:val="21"/>
        </w:rPr>
        <w:t>3.1.5</w:t>
      </w:r>
      <w:r>
        <w:rPr>
          <w:rFonts w:hint="eastAsia" w:ascii="Times New Roman" w:hAnsi="Times New Roman" w:eastAsia="宋体"/>
          <w:b/>
          <w:color w:val="000000"/>
          <w:szCs w:val="21"/>
          <w:lang w:val="en-US" w:eastAsia="zh-CN"/>
        </w:rPr>
        <w:t xml:space="preserve"> </w:t>
      </w:r>
      <w:r>
        <w:rPr>
          <w:rFonts w:ascii="Times New Roman" w:hAnsi="Times New Roman" w:eastAsia="宋体"/>
          <w:b/>
          <w:color w:val="000000"/>
          <w:szCs w:val="21"/>
        </w:rPr>
        <w:t xml:space="preserve"> </w:t>
      </w:r>
      <w:r>
        <w:rPr>
          <w:rFonts w:hint="eastAsia" w:ascii="Times New Roman" w:hAnsi="Times New Roman" w:eastAsia="宋体"/>
          <w:bCs/>
          <w:color w:val="000000"/>
          <w:szCs w:val="21"/>
        </w:rPr>
        <w:t>项目经理部、施工企业应制定接触职业病危害岗位职业卫生操作规程，应与岗位职责相对应，包括职业卫生防护的内容，并公布岗位职业卫生操作规程。</w:t>
      </w:r>
    </w:p>
    <w:p>
      <w:pPr>
        <w:spacing w:line="360" w:lineRule="auto"/>
        <w:rPr>
          <w:rFonts w:ascii="Times New Roman" w:hAnsi="Times New Roman" w:eastAsia="宋体"/>
          <w:bCs/>
          <w:color w:val="000000"/>
          <w:szCs w:val="21"/>
        </w:rPr>
      </w:pPr>
      <w:r>
        <w:rPr>
          <w:rFonts w:ascii="Times New Roman" w:hAnsi="Times New Roman" w:eastAsia="宋体"/>
          <w:b/>
          <w:color w:val="000000"/>
          <w:szCs w:val="21"/>
        </w:rPr>
        <w:t xml:space="preserve">3.1.6  </w:t>
      </w:r>
      <w:r>
        <w:rPr>
          <w:rFonts w:hint="eastAsia" w:ascii="Times New Roman" w:hAnsi="Times New Roman" w:eastAsia="宋体"/>
          <w:bCs/>
          <w:color w:val="000000"/>
          <w:szCs w:val="21"/>
        </w:rPr>
        <w:t>建设单位应建立健全建设项目职业病防护设施“三同时”档案。工程总承包的项目经理部应建立健全职业卫生管理档案、用人单位职业健康监护管理档案、劳动者个人职业健康监护档案，包括分包单位劳动者职业健康监护档案复印件。如存在项目分包的，应参照工程总承包建立健全职业卫生档案。</w:t>
      </w:r>
    </w:p>
    <w:p>
      <w:pPr>
        <w:spacing w:line="360" w:lineRule="auto"/>
        <w:rPr>
          <w:rFonts w:cs="Times New Roman" w:asciiTheme="minorEastAsia" w:hAnsiTheme="minorEastAsia"/>
          <w:bCs/>
          <w:i/>
          <w:iCs/>
          <w:u w:val="single"/>
        </w:rPr>
      </w:pPr>
      <w:r>
        <w:rPr>
          <w:rFonts w:hint="eastAsia" w:cs="Times New Roman" w:asciiTheme="minorEastAsia" w:hAnsiTheme="minorEastAsia"/>
          <w:b/>
          <w:i/>
          <w:iCs/>
          <w:u w:val="single"/>
        </w:rPr>
        <w:t>条文说明：</w:t>
      </w:r>
      <w:r>
        <w:rPr>
          <w:rFonts w:hint="eastAsia" w:cs="Times New Roman" w:asciiTheme="minorEastAsia" w:hAnsiTheme="minorEastAsia"/>
          <w:bCs/>
          <w:i/>
          <w:iCs/>
          <w:u w:val="single"/>
        </w:rPr>
        <w:t>参考现有职业卫生技术标准，建立基本的职业卫生管理档案。强调职业健康监护档案的重要性，明确了工程总承包建立的职业卫生档案中包括分包单位劳动者职业健康监护档案复印件。</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bookmarkStart w:id="22" w:name="_Toc3557"/>
      <w:bookmarkStart w:id="23" w:name="_Toc19544"/>
      <w:bookmarkStart w:id="24" w:name="_Toc4734"/>
      <w:bookmarkStart w:id="25" w:name="_Toc19618"/>
      <w:bookmarkStart w:id="26" w:name="_Toc94050263"/>
      <w:bookmarkStart w:id="27" w:name="_Toc101823010"/>
      <w:bookmarkStart w:id="28" w:name="_Toc489189281"/>
      <w:r>
        <w:rPr>
          <w:rFonts w:hint="eastAsia" w:ascii="宋体" w:hAnsi="宋体" w:eastAsia="宋体" w:cs="宋体"/>
          <w:bCs w:val="0"/>
          <w:color w:val="000000"/>
          <w:sz w:val="21"/>
          <w:szCs w:val="21"/>
        </w:rPr>
        <w:t>3.2</w:t>
      </w:r>
      <w:bookmarkEnd w:id="22"/>
      <w:bookmarkEnd w:id="23"/>
      <w:bookmarkEnd w:id="24"/>
      <w:bookmarkEnd w:id="25"/>
      <w:r>
        <w:rPr>
          <w:rFonts w:hint="eastAsia" w:ascii="宋体" w:hAnsi="宋体" w:eastAsia="宋体" w:cs="宋体"/>
          <w:bCs w:val="0"/>
          <w:color w:val="000000"/>
          <w:sz w:val="21"/>
          <w:szCs w:val="21"/>
        </w:rPr>
        <w:t xml:space="preserve"> 预防性措施</w:t>
      </w:r>
      <w:bookmarkEnd w:id="26"/>
      <w:bookmarkEnd w:id="27"/>
    </w:p>
    <w:p>
      <w:pPr>
        <w:spacing w:line="360" w:lineRule="auto"/>
        <w:rPr>
          <w:rFonts w:ascii="Times New Roman" w:hAnsi="Times New Roman" w:eastAsia="宋体"/>
          <w:b/>
          <w:color w:val="000000"/>
          <w:szCs w:val="21"/>
        </w:rPr>
      </w:pPr>
      <w:r>
        <w:rPr>
          <w:rFonts w:ascii="Times New Roman" w:hAnsi="Times New Roman" w:eastAsia="宋体"/>
          <w:b/>
          <w:color w:val="000000"/>
          <w:szCs w:val="21"/>
        </w:rPr>
        <w:t xml:space="preserve">3.2.1  </w:t>
      </w:r>
      <w:r>
        <w:rPr>
          <w:rFonts w:hint="eastAsia" w:ascii="Times New Roman" w:hAnsi="Times New Roman" w:eastAsia="宋体"/>
          <w:bCs/>
          <w:color w:val="000000"/>
          <w:szCs w:val="21"/>
        </w:rPr>
        <w:t>职业病危害项目必须按相关规定进行申报或变更，并归档。</w:t>
      </w:r>
    </w:p>
    <w:p>
      <w:pPr>
        <w:spacing w:line="360" w:lineRule="auto"/>
        <w:rPr>
          <w:rFonts w:ascii="Times New Roman" w:hAnsi="Times New Roman" w:eastAsia="宋体"/>
          <w:b/>
          <w:color w:val="000000"/>
          <w:szCs w:val="21"/>
        </w:rPr>
      </w:pPr>
      <w:r>
        <w:rPr>
          <w:rFonts w:ascii="Times New Roman" w:hAnsi="Times New Roman" w:eastAsia="宋体"/>
          <w:b/>
          <w:color w:val="000000"/>
          <w:szCs w:val="21"/>
        </w:rPr>
        <w:t xml:space="preserve">3.2.2  </w:t>
      </w:r>
      <w:r>
        <w:rPr>
          <w:rFonts w:hint="eastAsia" w:ascii="Times New Roman" w:hAnsi="Times New Roman" w:eastAsia="宋体"/>
          <w:bCs/>
          <w:color w:val="000000"/>
          <w:szCs w:val="21"/>
        </w:rPr>
        <w:t>新、改、扩建和技术改造、技术引进建设项目，建设项目单位必须依据《职业病防治法》《建设项目职业病防护设施“三同时”监督管理办法》等法律法规开展职业病防护设施“三同时”。</w:t>
      </w:r>
    </w:p>
    <w:p>
      <w:pPr>
        <w:spacing w:line="360" w:lineRule="auto"/>
        <w:rPr>
          <w:rFonts w:cs="Times New Roman" w:asciiTheme="minorEastAsia" w:hAnsiTheme="minorEastAsia"/>
          <w:bCs/>
          <w:i/>
          <w:iCs/>
          <w:u w:val="single"/>
        </w:rPr>
      </w:pPr>
      <w:r>
        <w:rPr>
          <w:rFonts w:hint="eastAsia" w:cs="Times New Roman" w:asciiTheme="minorEastAsia" w:hAnsiTheme="minorEastAsia"/>
          <w:b/>
          <w:i/>
          <w:iCs/>
          <w:u w:val="single"/>
        </w:rPr>
        <w:t>条文说明：</w:t>
      </w:r>
      <w:r>
        <w:rPr>
          <w:rFonts w:hint="eastAsia" w:cs="Times New Roman" w:asciiTheme="minorEastAsia" w:hAnsiTheme="minorEastAsia"/>
          <w:bCs/>
          <w:i/>
          <w:iCs/>
          <w:u w:val="single"/>
        </w:rPr>
        <w:t>本章依据《职业病防治法》、《建设项目职业病防护设施“三同时”监督管理办法》等法律法规，对建筑施工项目的职业卫生管理部门提出了前期预防的有关工作要求。</w:t>
      </w:r>
    </w:p>
    <w:bookmarkEnd w:id="28"/>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bookmarkStart w:id="29" w:name="_Toc94050264"/>
      <w:bookmarkStart w:id="30" w:name="_Toc101823011"/>
      <w:r>
        <w:rPr>
          <w:rFonts w:hint="eastAsia" w:ascii="宋体" w:hAnsi="宋体" w:eastAsia="宋体" w:cs="宋体"/>
          <w:bCs w:val="0"/>
          <w:color w:val="000000"/>
          <w:sz w:val="21"/>
          <w:szCs w:val="21"/>
        </w:rPr>
        <w:t>3.3 职业卫生培训</w:t>
      </w:r>
      <w:bookmarkEnd w:id="29"/>
      <w:bookmarkEnd w:id="30"/>
    </w:p>
    <w:p>
      <w:pPr>
        <w:pStyle w:val="40"/>
        <w:numPr>
          <w:ilvl w:val="0"/>
          <w:numId w:val="3"/>
        </w:numPr>
        <w:ind w:left="0" w:firstLine="0"/>
        <w:rPr>
          <w:rFonts w:ascii="Times New Roman" w:hAnsi="Times New Roman" w:eastAsia="宋体"/>
          <w:bCs/>
          <w:color w:val="000000"/>
          <w:sz w:val="21"/>
          <w:szCs w:val="21"/>
        </w:rPr>
      </w:pPr>
      <w:r>
        <w:rPr>
          <w:rFonts w:hint="eastAsia" w:ascii="Times New Roman" w:hAnsi="Times New Roman" w:eastAsia="宋体"/>
          <w:bCs/>
          <w:color w:val="000000"/>
          <w:sz w:val="21"/>
          <w:szCs w:val="21"/>
        </w:rPr>
        <w:t>施工单位应定期对接触职业病危害的职工开展上岗前和在岗期间职业卫生培训，每年应至少组织一次职业卫生知识技能再教育和考核。</w:t>
      </w:r>
    </w:p>
    <w:p>
      <w:pPr>
        <w:pStyle w:val="40"/>
        <w:numPr>
          <w:ilvl w:val="0"/>
          <w:numId w:val="3"/>
        </w:numPr>
        <w:ind w:left="0" w:firstLine="0"/>
        <w:rPr>
          <w:rFonts w:ascii="Times New Roman" w:hAnsi="Times New Roman" w:eastAsia="宋体"/>
          <w:bCs/>
          <w:color w:val="000000"/>
          <w:sz w:val="21"/>
          <w:szCs w:val="21"/>
        </w:rPr>
      </w:pPr>
      <w:r>
        <w:rPr>
          <w:rFonts w:hint="eastAsia" w:ascii="Times New Roman" w:hAnsi="Times New Roman" w:eastAsia="宋体"/>
          <w:bCs/>
          <w:color w:val="000000"/>
          <w:sz w:val="21"/>
          <w:szCs w:val="21"/>
        </w:rPr>
        <w:t>劳动者应学习和了解相关的职业卫生知识和职业病防治法律、法规；应掌握作业操作规程，正确使用、维护职业病防护设施、设备和个人防护用品，发现职业病危害事故隐患应及时报告。</w:t>
      </w:r>
    </w:p>
    <w:p>
      <w:pPr>
        <w:pStyle w:val="40"/>
        <w:numPr>
          <w:ilvl w:val="0"/>
          <w:numId w:val="3"/>
        </w:numPr>
        <w:ind w:left="0" w:firstLine="0"/>
        <w:rPr>
          <w:rFonts w:ascii="Times New Roman" w:hAnsi="Times New Roman" w:eastAsia="宋体"/>
          <w:bCs/>
          <w:color w:val="000000"/>
          <w:sz w:val="21"/>
          <w:szCs w:val="21"/>
        </w:rPr>
      </w:pPr>
      <w:r>
        <w:rPr>
          <w:rFonts w:hint="eastAsia" w:ascii="Times New Roman" w:hAnsi="Times New Roman" w:eastAsia="宋体"/>
          <w:bCs/>
          <w:color w:val="000000"/>
          <w:sz w:val="21"/>
          <w:szCs w:val="21"/>
        </w:rPr>
        <w:t>接触尘、毒、噪声、高温、辐射等作业的劳动者上岗、在岗、换岗及长期停工后复岗前应经过“三级安全教育”和防尘、防毒、防噪声、防高温、防辐射等技能培训。</w:t>
      </w:r>
    </w:p>
    <w:p>
      <w:pPr>
        <w:spacing w:line="360" w:lineRule="auto"/>
        <w:rPr>
          <w:rFonts w:cs="Times New Roman" w:asciiTheme="minorEastAsia" w:hAnsiTheme="minorEastAsia"/>
          <w:bCs/>
          <w:i/>
          <w:iCs/>
          <w:u w:val="single"/>
        </w:rPr>
      </w:pPr>
      <w:r>
        <w:rPr>
          <w:rFonts w:hint="eastAsia" w:cs="Times New Roman" w:asciiTheme="minorEastAsia" w:hAnsiTheme="minorEastAsia"/>
          <w:b/>
          <w:i/>
          <w:iCs/>
          <w:u w:val="single"/>
        </w:rPr>
        <w:t>条文说明：</w:t>
      </w:r>
      <w:r>
        <w:rPr>
          <w:rFonts w:hint="eastAsia" w:cs="Times New Roman" w:asciiTheme="minorEastAsia" w:hAnsiTheme="minorEastAsia"/>
          <w:bCs/>
          <w:i/>
          <w:iCs/>
          <w:u w:val="single"/>
        </w:rPr>
        <w:t>本条内容主要引自GB/T28001、GB/T28002、DBJ01-83，规定了职业卫生培训的实施者、对象范围、培训内容、周期，与其他行业职业卫生培训相同。</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bookmarkStart w:id="31" w:name="_Toc101823012"/>
      <w:bookmarkStart w:id="32" w:name="_Toc94050265"/>
      <w:r>
        <w:rPr>
          <w:rFonts w:hint="eastAsia" w:ascii="宋体" w:hAnsi="宋体" w:eastAsia="宋体" w:cs="宋体"/>
          <w:bCs w:val="0"/>
          <w:color w:val="000000"/>
          <w:sz w:val="21"/>
          <w:szCs w:val="21"/>
        </w:rPr>
        <w:t>3.4 职业病危害告知和警示标识</w:t>
      </w:r>
      <w:bookmarkEnd w:id="31"/>
      <w:bookmarkEnd w:id="32"/>
    </w:p>
    <w:p>
      <w:pPr>
        <w:pStyle w:val="40"/>
        <w:numPr>
          <w:ilvl w:val="0"/>
          <w:numId w:val="4"/>
        </w:numPr>
        <w:ind w:left="0" w:firstLine="0"/>
        <w:rPr>
          <w:rFonts w:ascii="Times New Roman" w:hAnsi="Times New Roman" w:eastAsia="宋体"/>
          <w:bCs/>
          <w:color w:val="000000"/>
          <w:sz w:val="21"/>
          <w:szCs w:val="21"/>
        </w:rPr>
      </w:pPr>
      <w:r>
        <w:rPr>
          <w:rFonts w:hint="eastAsia" w:ascii="Times New Roman" w:hAnsi="Times New Roman" w:eastAsia="宋体"/>
          <w:bCs/>
          <w:color w:val="000000"/>
          <w:sz w:val="21"/>
          <w:szCs w:val="21"/>
        </w:rPr>
        <w:t>用人单位与劳动者订立或变更劳动合同时，应书面向劳动者如实告知存在的相关职业病危害、可能导致的职业病及其防护措施。</w:t>
      </w:r>
    </w:p>
    <w:p>
      <w:pPr>
        <w:pStyle w:val="40"/>
        <w:numPr>
          <w:ilvl w:val="0"/>
          <w:numId w:val="4"/>
        </w:numPr>
        <w:ind w:left="0" w:firstLine="0"/>
        <w:rPr>
          <w:rFonts w:ascii="Times New Roman" w:hAnsi="Times New Roman" w:eastAsia="宋体"/>
          <w:bCs/>
          <w:color w:val="000000"/>
          <w:sz w:val="21"/>
          <w:szCs w:val="21"/>
        </w:rPr>
      </w:pPr>
      <w:r>
        <w:rPr>
          <w:rFonts w:hint="eastAsia" w:ascii="Times New Roman" w:hAnsi="Times New Roman" w:eastAsia="宋体"/>
          <w:bCs/>
          <w:color w:val="000000"/>
          <w:sz w:val="21"/>
          <w:szCs w:val="21"/>
        </w:rPr>
        <w:t>产生职业病危害的用人单位，应当在醒目位置设置公告栏。设置在办公区域的公告栏，主要公布本单位的职业卫生管理制度和操作规程等；设置在施工场所的公告栏，主要公布存在的职业病危害因素及岗位、健康危害、接触限值、应急救援措施、操作规程等内容。</w:t>
      </w:r>
    </w:p>
    <w:p>
      <w:pPr>
        <w:pStyle w:val="40"/>
        <w:numPr>
          <w:ilvl w:val="0"/>
          <w:numId w:val="4"/>
        </w:numPr>
        <w:ind w:left="0" w:firstLine="0"/>
        <w:rPr>
          <w:rFonts w:ascii="Times New Roman" w:hAnsi="Times New Roman" w:eastAsia="宋体"/>
          <w:bCs/>
          <w:color w:val="000000"/>
          <w:sz w:val="21"/>
          <w:szCs w:val="21"/>
        </w:rPr>
      </w:pPr>
      <w:r>
        <w:rPr>
          <w:rFonts w:hint="eastAsia" w:ascii="Times New Roman" w:hAnsi="Times New Roman" w:eastAsia="宋体"/>
          <w:bCs/>
          <w:color w:val="000000"/>
          <w:sz w:val="21"/>
          <w:szCs w:val="21"/>
        </w:rPr>
        <w:t>存在或者产生职业病危害的施工场所、作业岗位、设备、设施，应当按照《工作场所职业病危害警示标识》GBZ158的规定，应在醒目位置设置图形、警示线、警示语句等警示标识和中文警示说明。警示说明应当载明产生职业病危害的种类、后果、预防和应急处置措施等内容。</w:t>
      </w:r>
    </w:p>
    <w:p>
      <w:pPr>
        <w:pStyle w:val="40"/>
        <w:numPr>
          <w:ilvl w:val="0"/>
          <w:numId w:val="4"/>
        </w:numPr>
        <w:ind w:left="0" w:firstLine="0"/>
        <w:rPr>
          <w:rFonts w:ascii="Times New Roman" w:hAnsi="Times New Roman" w:eastAsia="宋体"/>
          <w:bCs/>
          <w:color w:val="000000"/>
          <w:sz w:val="21"/>
          <w:szCs w:val="21"/>
        </w:rPr>
      </w:pPr>
      <w:r>
        <w:rPr>
          <w:rFonts w:hint="eastAsia" w:ascii="Times New Roman" w:hAnsi="Times New Roman" w:eastAsia="宋体"/>
          <w:bCs/>
          <w:color w:val="000000"/>
          <w:sz w:val="21"/>
          <w:szCs w:val="21"/>
        </w:rPr>
        <w:t>存在或产生高毒物品的作业岗位，应当按照《高毒物品作业岗位职业病危害告知规范》GBZ/T203的规定，在醒目位置设置高毒物品告知卡，告知卡应当载明高毒物品的名称、理化特性、健康危害、防护措施及应急处理等告知内容与警示标识。</w:t>
      </w:r>
    </w:p>
    <w:p>
      <w:pPr>
        <w:spacing w:line="360" w:lineRule="auto"/>
        <w:rPr>
          <w:rFonts w:cs="Times New Roman" w:asciiTheme="minorEastAsia" w:hAnsiTheme="minorEastAsia"/>
          <w:bCs/>
          <w:i/>
          <w:iCs/>
          <w:u w:val="single"/>
        </w:rPr>
      </w:pPr>
      <w:r>
        <w:rPr>
          <w:rFonts w:hint="eastAsia" w:cs="Times New Roman" w:asciiTheme="minorEastAsia" w:hAnsiTheme="minorEastAsia"/>
          <w:b/>
          <w:i/>
          <w:iCs/>
          <w:u w:val="single"/>
        </w:rPr>
        <w:t>条文说明：</w:t>
      </w:r>
      <w:r>
        <w:rPr>
          <w:rFonts w:hint="eastAsia" w:cs="Times New Roman" w:asciiTheme="minorEastAsia" w:hAnsiTheme="minorEastAsia"/>
          <w:bCs/>
          <w:i/>
          <w:iCs/>
          <w:u w:val="single"/>
        </w:rPr>
        <w:t>本章内容主要引自《职业病防治法》、《工作场所职业病危害警示标识》GBZ158和《高毒物品作业岗位职业病危害告知规范》GBZ/T203中职业病危害告知和警示标识的要求。</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bookmarkStart w:id="33" w:name="_Toc94050266"/>
      <w:bookmarkStart w:id="34" w:name="_Toc101823013"/>
      <w:r>
        <w:rPr>
          <w:rFonts w:hint="eastAsia" w:ascii="宋体" w:hAnsi="宋体" w:eastAsia="宋体" w:cs="宋体"/>
          <w:bCs w:val="0"/>
          <w:color w:val="000000"/>
          <w:sz w:val="21"/>
          <w:szCs w:val="21"/>
        </w:rPr>
        <w:t>3.5 职业健康监护</w:t>
      </w:r>
      <w:bookmarkEnd w:id="33"/>
      <w:bookmarkEnd w:id="34"/>
    </w:p>
    <w:p>
      <w:pPr>
        <w:pStyle w:val="40"/>
        <w:numPr>
          <w:ilvl w:val="0"/>
          <w:numId w:val="5"/>
        </w:numPr>
        <w:ind w:left="0" w:firstLine="0"/>
        <w:rPr>
          <w:rFonts w:ascii="Times New Roman" w:hAnsi="Times New Roman" w:eastAsia="宋体"/>
          <w:bCs/>
          <w:color w:val="000000"/>
          <w:sz w:val="21"/>
          <w:szCs w:val="21"/>
        </w:rPr>
      </w:pPr>
      <w:r>
        <w:rPr>
          <w:rFonts w:hint="eastAsia" w:ascii="Times New Roman" w:hAnsi="Times New Roman" w:eastAsia="宋体"/>
          <w:bCs/>
          <w:color w:val="000000"/>
          <w:sz w:val="21"/>
          <w:szCs w:val="21"/>
        </w:rPr>
        <w:t>施工单位应建立完善的职业卫生监护体系，保证职工能够得到与其所接触的职业病危害因素相应的职业健康监护。</w:t>
      </w:r>
    </w:p>
    <w:p>
      <w:pPr>
        <w:pStyle w:val="40"/>
        <w:numPr>
          <w:ilvl w:val="0"/>
          <w:numId w:val="5"/>
        </w:numPr>
        <w:ind w:left="0" w:firstLine="0"/>
        <w:rPr>
          <w:rFonts w:ascii="Times New Roman" w:hAnsi="Times New Roman" w:eastAsia="宋体"/>
          <w:bCs/>
          <w:color w:val="000000"/>
          <w:sz w:val="21"/>
          <w:szCs w:val="21"/>
        </w:rPr>
      </w:pPr>
      <w:r>
        <w:rPr>
          <w:rFonts w:hint="eastAsia" w:ascii="Times New Roman" w:hAnsi="Times New Roman" w:eastAsia="宋体"/>
          <w:bCs/>
          <w:color w:val="000000"/>
          <w:sz w:val="21"/>
          <w:szCs w:val="21"/>
        </w:rPr>
        <w:t>施工单位必须按《职业健康监护技术规范》GBZ l88规定组织接触职业病危害因素的劳动者进行定期职业健康检查，施工单位应建立劳动者职业卫生监护档案并按规定妥善保存。</w:t>
      </w:r>
    </w:p>
    <w:p>
      <w:pPr>
        <w:pStyle w:val="40"/>
        <w:numPr>
          <w:ilvl w:val="0"/>
          <w:numId w:val="5"/>
        </w:numPr>
        <w:ind w:left="0" w:firstLine="0"/>
        <w:rPr>
          <w:rFonts w:ascii="Times New Roman" w:hAnsi="Times New Roman" w:eastAsia="宋体"/>
          <w:bCs/>
          <w:color w:val="000000"/>
          <w:sz w:val="21"/>
          <w:szCs w:val="21"/>
        </w:rPr>
      </w:pPr>
      <w:r>
        <w:rPr>
          <w:rFonts w:hint="eastAsia" w:ascii="Times New Roman" w:hAnsi="Times New Roman" w:eastAsia="宋体"/>
          <w:bCs/>
          <w:color w:val="000000"/>
          <w:sz w:val="21"/>
          <w:szCs w:val="21"/>
        </w:rPr>
        <w:t>有职业禁忌证者不应安排从事其所禁忌的作业，已被诊断为职业病的劳动者应及时进行治疗和定期复查，必要时调离原工作岗位，并妥善安置。</w:t>
      </w:r>
    </w:p>
    <w:p>
      <w:pPr>
        <w:spacing w:line="360" w:lineRule="auto"/>
        <w:rPr>
          <w:rFonts w:cs="Times New Roman" w:asciiTheme="minorEastAsia" w:hAnsiTheme="minorEastAsia"/>
          <w:bCs/>
          <w:i/>
          <w:iCs/>
          <w:u w:val="single"/>
        </w:rPr>
      </w:pPr>
      <w:r>
        <w:rPr>
          <w:rFonts w:hint="eastAsia" w:cs="Times New Roman" w:asciiTheme="minorEastAsia" w:hAnsiTheme="minorEastAsia"/>
          <w:b/>
          <w:i/>
          <w:iCs/>
          <w:u w:val="single"/>
        </w:rPr>
        <w:t>条文说明：</w:t>
      </w:r>
      <w:r>
        <w:rPr>
          <w:rFonts w:hint="eastAsia" w:cs="Times New Roman" w:asciiTheme="minorEastAsia" w:hAnsiTheme="minorEastAsia"/>
          <w:bCs/>
          <w:i/>
          <w:iCs/>
          <w:u w:val="single"/>
        </w:rPr>
        <w:t>内容主要引自《职业病防治法》、G</w:t>
      </w:r>
      <w:r>
        <w:rPr>
          <w:rFonts w:cs="Times New Roman" w:asciiTheme="minorEastAsia" w:hAnsiTheme="minorEastAsia"/>
          <w:bCs/>
          <w:i/>
          <w:iCs/>
          <w:u w:val="single"/>
        </w:rPr>
        <w:t>BZ188</w:t>
      </w:r>
      <w:r>
        <w:rPr>
          <w:rFonts w:hint="eastAsia" w:cs="Times New Roman" w:asciiTheme="minorEastAsia" w:hAnsiTheme="minorEastAsia"/>
          <w:bCs/>
          <w:i/>
          <w:iCs/>
          <w:u w:val="single"/>
        </w:rPr>
        <w:t>，规定了职业健康监护的实施者、对象范围、内容、周期，以及职业禁忌证和职业病的安置和治疗，职业健康监护档案管理，与其他行业职业健康监护相同。建筑施工主要工种的职业健康体检项目、周期见附表。</w:t>
      </w:r>
    </w:p>
    <w:p>
      <w:pPr>
        <w:spacing w:line="360" w:lineRule="auto"/>
        <w:jc w:val="cente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keepNext w:val="0"/>
        <w:keepLines w:val="0"/>
        <w:pageBreakBefore/>
        <w:widowControl/>
        <w:kinsoku/>
        <w:wordWrap/>
        <w:overflowPunct/>
        <w:topLinePunct w:val="0"/>
        <w:autoSpaceDE/>
        <w:autoSpaceDN/>
        <w:bidi w:val="0"/>
        <w:adjustRightInd/>
        <w:snapToGrid w:val="0"/>
        <w:spacing w:before="312" w:beforeLines="100" w:after="312" w:afterLines="100" w:line="240" w:lineRule="auto"/>
        <w:jc w:val="center"/>
        <w:textAlignment w:val="auto"/>
        <w:outlineLvl w:val="0"/>
        <w:rPr>
          <w:rFonts w:hint="eastAsia" w:ascii="宋体" w:hAnsi="宋体" w:eastAsia="宋体" w:cs="宋体"/>
          <w:b/>
          <w:bCs/>
          <w:color w:val="000000"/>
          <w:kern w:val="0"/>
          <w:sz w:val="28"/>
          <w:szCs w:val="28"/>
        </w:rPr>
      </w:pPr>
      <w:bookmarkStart w:id="35" w:name="_Toc18438"/>
      <w:bookmarkStart w:id="36" w:name="_Toc94050267"/>
      <w:bookmarkStart w:id="37" w:name="_Toc101823014"/>
      <w:bookmarkStart w:id="38" w:name="_Toc7810"/>
      <w:bookmarkStart w:id="39" w:name="_Toc8683"/>
      <w:bookmarkStart w:id="40" w:name="_Toc10568"/>
      <w:r>
        <w:rPr>
          <w:rFonts w:hint="eastAsia" w:ascii="宋体" w:hAnsi="宋体" w:eastAsia="宋体" w:cs="宋体"/>
          <w:b/>
          <w:bCs/>
          <w:color w:val="000000"/>
          <w:kern w:val="0"/>
          <w:sz w:val="28"/>
          <w:szCs w:val="28"/>
        </w:rPr>
        <w:t>4  过程管理</w:t>
      </w:r>
      <w:bookmarkEnd w:id="35"/>
      <w:r>
        <w:rPr>
          <w:rFonts w:hint="eastAsia" w:ascii="宋体" w:hAnsi="宋体" w:eastAsia="宋体" w:cs="宋体"/>
          <w:b/>
          <w:bCs/>
          <w:color w:val="000000"/>
          <w:kern w:val="0"/>
          <w:sz w:val="28"/>
          <w:szCs w:val="28"/>
        </w:rPr>
        <w:t>与防控</w:t>
      </w:r>
      <w:bookmarkEnd w:id="36"/>
      <w:bookmarkEnd w:id="37"/>
    </w:p>
    <w:bookmarkEnd w:id="38"/>
    <w:bookmarkEnd w:id="39"/>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bookmarkStart w:id="41" w:name="_Toc31243"/>
      <w:bookmarkStart w:id="42" w:name="_Toc101823015"/>
      <w:bookmarkStart w:id="43" w:name="_Toc94050268"/>
      <w:bookmarkStart w:id="44" w:name="_Toc630"/>
      <w:bookmarkStart w:id="45" w:name="_Toc12601"/>
      <w:r>
        <w:rPr>
          <w:rFonts w:hint="eastAsia" w:ascii="宋体" w:hAnsi="宋体" w:eastAsia="宋体" w:cs="宋体"/>
          <w:bCs w:val="0"/>
          <w:color w:val="000000"/>
          <w:sz w:val="21"/>
          <w:szCs w:val="21"/>
        </w:rPr>
        <w:t xml:space="preserve">4.1 </w:t>
      </w:r>
      <w:bookmarkEnd w:id="41"/>
      <w:r>
        <w:rPr>
          <w:rFonts w:hint="eastAsia" w:ascii="宋体" w:hAnsi="宋体" w:eastAsia="宋体" w:cs="宋体"/>
          <w:bCs w:val="0"/>
          <w:color w:val="000000"/>
          <w:sz w:val="21"/>
          <w:szCs w:val="21"/>
        </w:rPr>
        <w:t>施工场所管理</w:t>
      </w:r>
      <w:bookmarkEnd w:id="42"/>
      <w:bookmarkEnd w:id="43"/>
    </w:p>
    <w:bookmarkEnd w:id="44"/>
    <w:bookmarkEnd w:id="45"/>
    <w:p>
      <w:pPr>
        <w:pStyle w:val="40"/>
        <w:rPr>
          <w:rFonts w:ascii="Times New Roman" w:hAnsi="Times New Roman"/>
          <w:color w:val="000000"/>
          <w:sz w:val="21"/>
          <w:szCs w:val="21"/>
        </w:rPr>
      </w:pPr>
      <w:r>
        <w:rPr>
          <w:rFonts w:ascii="Times New Roman" w:hAnsi="Times New Roman"/>
          <w:b/>
          <w:bCs/>
          <w:color w:val="000000"/>
          <w:sz w:val="21"/>
          <w:szCs w:val="21"/>
        </w:rPr>
        <w:t>4.1.</w:t>
      </w:r>
      <w:r>
        <w:rPr>
          <w:rFonts w:hint="eastAsia" w:ascii="Times New Roman" w:hAnsi="Times New Roman"/>
          <w:b/>
          <w:bCs/>
          <w:color w:val="000000"/>
          <w:sz w:val="21"/>
          <w:szCs w:val="21"/>
        </w:rPr>
        <w:t>1</w:t>
      </w:r>
      <w:r>
        <w:rPr>
          <w:rFonts w:ascii="Times New Roman" w:hAnsi="Times New Roman"/>
          <w:color w:val="000000"/>
          <w:sz w:val="21"/>
          <w:szCs w:val="21"/>
        </w:rPr>
        <w:t xml:space="preserve">  </w:t>
      </w:r>
      <w:r>
        <w:rPr>
          <w:rFonts w:hint="eastAsia" w:ascii="Times New Roman" w:hAnsi="Times New Roman"/>
          <w:color w:val="000000"/>
          <w:sz w:val="21"/>
          <w:szCs w:val="21"/>
        </w:rPr>
        <w:t>办公区、生活区与施工区域应当分开布置，高毒作业与低毒、无毒作业应当分开。</w:t>
      </w:r>
    </w:p>
    <w:p>
      <w:pPr>
        <w:pStyle w:val="40"/>
        <w:rPr>
          <w:rFonts w:ascii="Times New Roman" w:hAnsi="Times New Roman"/>
          <w:color w:val="000000"/>
          <w:sz w:val="21"/>
          <w:szCs w:val="21"/>
        </w:rPr>
      </w:pPr>
      <w:r>
        <w:rPr>
          <w:rFonts w:ascii="Times New Roman" w:hAnsi="Times New Roman"/>
          <w:b/>
          <w:bCs/>
          <w:color w:val="000000"/>
          <w:sz w:val="21"/>
          <w:szCs w:val="21"/>
        </w:rPr>
        <w:t>4.1.2</w:t>
      </w:r>
      <w:r>
        <w:rPr>
          <w:rFonts w:hint="eastAsia" w:ascii="Times New Roman" w:hAnsi="Times New Roman"/>
          <w:color w:val="000000"/>
          <w:sz w:val="21"/>
          <w:szCs w:val="21"/>
        </w:rPr>
        <w:t>　施工现场或附近应当设置清洁饮用水供应、防暑降温、防蚊虫设施，禁止在尚未竣工的建筑内设置集体宿舍。施工现场或附近应当设置符合卫生要求的休息场所、就餐场所、更衣室、浴室、男女卫生间、盥洗设施，并保证这些设施处于完好状态。</w:t>
      </w:r>
    </w:p>
    <w:p>
      <w:pPr>
        <w:spacing w:line="360" w:lineRule="auto"/>
        <w:rPr>
          <w:rFonts w:hint="eastAsia" w:ascii="Times New Roman" w:hAnsi="Times New Roman"/>
          <w:color w:val="000000"/>
          <w:sz w:val="21"/>
          <w:szCs w:val="21"/>
        </w:rPr>
      </w:pPr>
      <w:r>
        <w:rPr>
          <w:rFonts w:ascii="Times New Roman" w:hAnsi="Times New Roman"/>
          <w:b/>
          <w:bCs/>
          <w:color w:val="000000"/>
          <w:sz w:val="21"/>
          <w:szCs w:val="21"/>
        </w:rPr>
        <w:t>4.1.3</w:t>
      </w:r>
      <w:r>
        <w:rPr>
          <w:rFonts w:hint="eastAsia" w:ascii="Times New Roman" w:hAnsi="Times New Roman"/>
          <w:color w:val="000000"/>
          <w:sz w:val="21"/>
          <w:szCs w:val="21"/>
        </w:rPr>
        <w:t>　工程建设时应优先采用无危害或危害较小的建筑材料、利于职业病防治和保护劳动者健康的新技术、新工艺、新材料和新设备；不得经营、进口和使用国家明令禁止使用的，可能产生职业病危害的设备和材料。</w:t>
      </w:r>
    </w:p>
    <w:p>
      <w:pPr>
        <w:spacing w:line="360" w:lineRule="auto"/>
        <w:rPr>
          <w:rFonts w:hint="eastAsia" w:cs="Times New Roman" w:asciiTheme="minorEastAsia" w:hAnsiTheme="minorEastAsia"/>
          <w:b w:val="0"/>
          <w:bCs/>
          <w:i/>
          <w:iCs/>
          <w:color w:val="000000"/>
          <w:sz w:val="21"/>
          <w:szCs w:val="21"/>
          <w:u w:val="single"/>
        </w:rPr>
      </w:pPr>
      <w:r>
        <w:rPr>
          <w:rFonts w:hint="eastAsia" w:cs="Times New Roman" w:asciiTheme="minorEastAsia" w:hAnsiTheme="minorEastAsia"/>
          <w:b/>
          <w:i/>
          <w:iCs/>
          <w:szCs w:val="21"/>
          <w:u w:val="single"/>
        </w:rPr>
        <w:t>条文说明：</w:t>
      </w:r>
      <w:r>
        <w:rPr>
          <w:rFonts w:hint="eastAsia" w:cs="Times New Roman" w:asciiTheme="minorEastAsia" w:hAnsiTheme="minorEastAsia"/>
          <w:b w:val="0"/>
          <w:bCs/>
          <w:i/>
          <w:iCs/>
          <w:szCs w:val="21"/>
          <w:u w:val="single"/>
          <w:lang w:eastAsia="zh-CN"/>
        </w:rPr>
        <w:t>本条</w:t>
      </w:r>
      <w:r>
        <w:rPr>
          <w:rFonts w:hint="eastAsia" w:cs="Times New Roman" w:asciiTheme="minorEastAsia" w:hAnsiTheme="minorEastAsia"/>
          <w:b w:val="0"/>
          <w:bCs/>
          <w:i/>
          <w:iCs/>
          <w:szCs w:val="21"/>
          <w:u w:val="single"/>
        </w:rPr>
        <w:t>内容主要引自GBZ1，</w:t>
      </w:r>
      <w:r>
        <w:rPr>
          <w:rFonts w:hint="eastAsia" w:cs="Times New Roman" w:asciiTheme="minorEastAsia" w:hAnsiTheme="minorEastAsia"/>
          <w:b w:val="0"/>
          <w:bCs/>
          <w:i/>
          <w:iCs/>
          <w:szCs w:val="21"/>
          <w:u w:val="single"/>
          <w:lang w:eastAsia="zh-CN"/>
        </w:rPr>
        <w:t>从原则上对平面布置、基本设施、原料和施工设备等方面提出施工场所管理的原则</w:t>
      </w:r>
      <w:r>
        <w:rPr>
          <w:rFonts w:hint="eastAsia" w:cs="Times New Roman" w:asciiTheme="minorEastAsia" w:hAnsiTheme="minorEastAsia"/>
          <w:b w:val="0"/>
          <w:bCs/>
          <w:i/>
          <w:iCs/>
          <w:szCs w:val="21"/>
          <w:u w:val="single"/>
        </w:rPr>
        <w:t>。</w:t>
      </w:r>
    </w:p>
    <w:p>
      <w:pPr>
        <w:pStyle w:val="40"/>
        <w:rPr>
          <w:rFonts w:ascii="Times New Roman" w:hAnsi="Times New Roman"/>
          <w:color w:val="000000"/>
          <w:sz w:val="21"/>
          <w:szCs w:val="21"/>
        </w:rPr>
      </w:pPr>
      <w:r>
        <w:rPr>
          <w:rFonts w:ascii="Times New Roman" w:hAnsi="Times New Roman"/>
          <w:b/>
          <w:bCs/>
          <w:color w:val="000000"/>
          <w:sz w:val="21"/>
          <w:szCs w:val="21"/>
        </w:rPr>
        <w:t>4.1.4</w:t>
      </w:r>
      <w:r>
        <w:rPr>
          <w:rFonts w:hint="eastAsia" w:ascii="Times New Roman" w:hAnsi="Times New Roman"/>
          <w:color w:val="000000"/>
          <w:sz w:val="21"/>
          <w:szCs w:val="21"/>
        </w:rPr>
        <w:t>　在可能产生职业病危害的设备的醒目位置应设置警示标识和中文警示说明。使用可能产生职业病危害的各类化学品，必须有中文说明书。使用放射性同位素和含有放射性物质材料的，必须有中文说明书。有毒物品的包装，必须有警示标识和中文警示说明。</w:t>
      </w:r>
    </w:p>
    <w:p>
      <w:pPr>
        <w:spacing w:line="360" w:lineRule="auto"/>
        <w:rPr>
          <w:rFonts w:hint="eastAsia" w:cs="Times New Roman" w:asciiTheme="minorEastAsia" w:hAnsiTheme="minorEastAsia"/>
          <w:b w:val="0"/>
          <w:bCs/>
          <w:i/>
          <w:iCs/>
          <w:sz w:val="21"/>
          <w:szCs w:val="21"/>
          <w:u w:val="single"/>
        </w:rPr>
      </w:pPr>
      <w:r>
        <w:rPr>
          <w:rFonts w:hint="eastAsia" w:cs="Times New Roman" w:asciiTheme="minorEastAsia" w:hAnsiTheme="minorEastAsia"/>
          <w:b/>
          <w:i/>
          <w:iCs/>
          <w:szCs w:val="21"/>
          <w:u w:val="single"/>
        </w:rPr>
        <w:t>条文说明：</w:t>
      </w:r>
      <w:r>
        <w:rPr>
          <w:rFonts w:hint="eastAsia" w:cs="Times New Roman" w:asciiTheme="minorEastAsia" w:hAnsiTheme="minorEastAsia"/>
          <w:b w:val="0"/>
          <w:bCs/>
          <w:i/>
          <w:iCs/>
          <w:szCs w:val="21"/>
          <w:u w:val="single"/>
          <w:lang w:eastAsia="zh-CN"/>
        </w:rPr>
        <w:t>本条</w:t>
      </w:r>
      <w:r>
        <w:rPr>
          <w:rFonts w:hint="eastAsia" w:cs="Times New Roman" w:asciiTheme="minorEastAsia" w:hAnsiTheme="minorEastAsia"/>
          <w:b w:val="0"/>
          <w:bCs/>
          <w:i/>
          <w:iCs/>
          <w:szCs w:val="21"/>
          <w:u w:val="single"/>
        </w:rPr>
        <w:t>内容主要引自GBZ1，</w:t>
      </w:r>
      <w:r>
        <w:rPr>
          <w:rFonts w:hint="eastAsia" w:cs="Times New Roman" w:asciiTheme="minorEastAsia" w:hAnsiTheme="minorEastAsia"/>
          <w:b w:val="0"/>
          <w:bCs/>
          <w:i/>
          <w:iCs/>
          <w:szCs w:val="21"/>
          <w:u w:val="single"/>
          <w:lang w:eastAsia="zh-CN"/>
        </w:rPr>
        <w:t>规范施工现场化学品、放射性同位素和含有放射性物质材料的使用，可能产生职业病危害的设备应有中文说明书。</w:t>
      </w:r>
    </w:p>
    <w:p>
      <w:pPr>
        <w:pStyle w:val="40"/>
        <w:rPr>
          <w:rFonts w:ascii="Times New Roman" w:hAnsi="Times New Roman"/>
          <w:color w:val="000000"/>
          <w:sz w:val="21"/>
          <w:szCs w:val="21"/>
        </w:rPr>
      </w:pPr>
      <w:r>
        <w:rPr>
          <w:rFonts w:ascii="Times New Roman" w:hAnsi="Times New Roman"/>
          <w:b/>
          <w:bCs/>
          <w:color w:val="000000"/>
          <w:sz w:val="21"/>
          <w:szCs w:val="21"/>
        </w:rPr>
        <w:t>4.1.5</w:t>
      </w:r>
      <w:r>
        <w:rPr>
          <w:rFonts w:hint="eastAsia" w:ascii="Times New Roman" w:hAnsi="Times New Roman"/>
          <w:color w:val="000000"/>
          <w:sz w:val="21"/>
          <w:szCs w:val="21"/>
        </w:rPr>
        <w:t>　施工现场有毒化学物品存储仓库应保持干燥通风，对空气中有毒有害物质浓度</w:t>
      </w:r>
      <w:r>
        <w:rPr>
          <w:rFonts w:hint="eastAsia" w:ascii="Times New Roman" w:hAnsi="Times New Roman"/>
          <w:color w:val="000000"/>
          <w:sz w:val="21"/>
          <w:szCs w:val="21"/>
          <w:lang w:eastAsia="zh-CN"/>
        </w:rPr>
        <w:t>可</w:t>
      </w:r>
      <w:r>
        <w:rPr>
          <w:rFonts w:hint="eastAsia" w:ascii="Times New Roman" w:hAnsi="Times New Roman"/>
          <w:color w:val="000000"/>
          <w:sz w:val="21"/>
          <w:szCs w:val="21"/>
        </w:rPr>
        <w:t>进行定期检测。</w:t>
      </w:r>
    </w:p>
    <w:p>
      <w:pPr>
        <w:pStyle w:val="40"/>
        <w:rPr>
          <w:rFonts w:ascii="Times New Roman" w:hAnsi="Times New Roman"/>
          <w:color w:val="000000"/>
          <w:sz w:val="21"/>
          <w:szCs w:val="21"/>
        </w:rPr>
      </w:pPr>
      <w:r>
        <w:rPr>
          <w:rFonts w:ascii="Times New Roman" w:hAnsi="Times New Roman"/>
          <w:b/>
          <w:bCs/>
          <w:color w:val="000000"/>
          <w:sz w:val="21"/>
          <w:szCs w:val="21"/>
        </w:rPr>
        <w:t>4.1.6</w:t>
      </w:r>
      <w:r>
        <w:rPr>
          <w:rFonts w:hint="eastAsia" w:ascii="Times New Roman" w:hAnsi="Times New Roman"/>
          <w:color w:val="000000"/>
          <w:sz w:val="21"/>
          <w:szCs w:val="21"/>
        </w:rPr>
        <w:t>　鼓励建筑施工单位宜采用便携式、快速、在线检测设备，对建筑施工现场的粉尘、噪声等常见职业病危害因素浓度（强度）进行检测，形成自检记录。自检记录与定期检测、评价结果应存入建筑施工单位职业卫生档案。职业病危害因素的检测结果报告应定期如实公布。</w:t>
      </w:r>
    </w:p>
    <w:p>
      <w:pPr>
        <w:spacing w:line="360" w:lineRule="auto"/>
        <w:rPr>
          <w:color w:val="000000"/>
          <w:szCs w:val="21"/>
        </w:rPr>
      </w:pP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本</w:t>
      </w:r>
      <w:r>
        <w:rPr>
          <w:rFonts w:hint="eastAsia" w:cs="Times New Roman" w:asciiTheme="minorEastAsia" w:hAnsiTheme="minorEastAsia"/>
          <w:bCs/>
          <w:i/>
          <w:iCs/>
          <w:szCs w:val="21"/>
          <w:u w:val="single"/>
          <w:lang w:eastAsia="zh-CN"/>
        </w:rPr>
        <w:t>条</w:t>
      </w:r>
      <w:r>
        <w:rPr>
          <w:rFonts w:hint="eastAsia" w:cs="Times New Roman" w:asciiTheme="minorEastAsia" w:hAnsiTheme="minorEastAsia"/>
          <w:bCs/>
          <w:i/>
          <w:iCs/>
          <w:szCs w:val="21"/>
          <w:u w:val="single"/>
        </w:rPr>
        <w:t>依据《职业病防治法》、GBZ1等法律法规、技术标准，主要引自《建筑施工企业职业病危害防治技术规范》AQ/T4256和《建筑行业职业病危害预防控制规范》GBZ/T 211</w:t>
      </w:r>
      <w:r>
        <w:rPr>
          <w:rFonts w:hint="eastAsia" w:cs="Times New Roman" w:asciiTheme="minorEastAsia" w:hAnsiTheme="minorEastAsia"/>
          <w:bCs/>
          <w:i/>
          <w:iCs/>
          <w:szCs w:val="21"/>
          <w:u w:val="single"/>
          <w:lang w:eastAsia="zh-CN"/>
        </w:rPr>
        <w:t>，对施工现场存在的职业病危害因素提出相应的检测要求，建筑施工单位应当实施由专人负责施工场所内的职业病危害因素日常监测。</w:t>
      </w:r>
      <w:r>
        <w:rPr>
          <w:rFonts w:hint="eastAsia" w:eastAsia="楷体"/>
          <w:bCs/>
          <w:szCs w:val="21"/>
          <w:lang w:bidi="ar"/>
        </w:rPr>
        <w:t xml:space="preserve"> </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bookmarkStart w:id="46" w:name="_Toc30209"/>
      <w:bookmarkStart w:id="47" w:name="_Toc94050269"/>
      <w:bookmarkStart w:id="48" w:name="_Toc101823016"/>
      <w:r>
        <w:rPr>
          <w:rFonts w:hint="eastAsia" w:ascii="宋体" w:hAnsi="宋体" w:eastAsia="宋体" w:cs="宋体"/>
          <w:bCs w:val="0"/>
          <w:color w:val="000000"/>
          <w:sz w:val="21"/>
          <w:szCs w:val="21"/>
        </w:rPr>
        <w:t xml:space="preserve">4.2 </w:t>
      </w:r>
      <w:bookmarkEnd w:id="46"/>
      <w:r>
        <w:rPr>
          <w:rFonts w:hint="eastAsia" w:ascii="宋体" w:hAnsi="宋体" w:eastAsia="宋体" w:cs="宋体"/>
          <w:bCs w:val="0"/>
          <w:color w:val="000000"/>
          <w:sz w:val="21"/>
          <w:szCs w:val="21"/>
        </w:rPr>
        <w:t>粉尘防护</w:t>
      </w:r>
      <w:bookmarkEnd w:id="47"/>
      <w:bookmarkEnd w:id="48"/>
    </w:p>
    <w:p>
      <w:pPr>
        <w:pStyle w:val="40"/>
        <w:rPr>
          <w:rFonts w:ascii="Times New Roman" w:hAnsi="Times New Roman"/>
          <w:color w:val="000000"/>
          <w:sz w:val="21"/>
          <w:szCs w:val="21"/>
        </w:rPr>
      </w:pPr>
      <w:r>
        <w:rPr>
          <w:rFonts w:ascii="Times New Roman" w:hAnsi="Times New Roman"/>
          <w:b/>
          <w:bCs/>
          <w:color w:val="000000"/>
          <w:sz w:val="21"/>
          <w:szCs w:val="21"/>
        </w:rPr>
        <w:t>4.2.</w:t>
      </w:r>
      <w:r>
        <w:rPr>
          <w:rFonts w:hint="eastAsia" w:ascii="Times New Roman" w:hAnsi="Times New Roman"/>
          <w:b/>
          <w:bCs/>
          <w:color w:val="000000"/>
          <w:sz w:val="21"/>
          <w:szCs w:val="21"/>
        </w:rPr>
        <w:t>1</w:t>
      </w:r>
      <w:r>
        <w:rPr>
          <w:rFonts w:ascii="Times New Roman" w:hAnsi="Times New Roman"/>
          <w:color w:val="000000"/>
          <w:sz w:val="21"/>
          <w:szCs w:val="21"/>
        </w:rPr>
        <w:t xml:space="preserve"> </w:t>
      </w:r>
      <w:r>
        <w:rPr>
          <w:rFonts w:hint="eastAsia" w:ascii="Times New Roman" w:hAnsi="Times New Roman"/>
          <w:color w:val="000000"/>
          <w:sz w:val="21"/>
          <w:szCs w:val="21"/>
          <w:lang w:val="en-US" w:eastAsia="zh-CN"/>
        </w:rPr>
        <w:t xml:space="preserve"> </w:t>
      </w:r>
      <w:r>
        <w:rPr>
          <w:rFonts w:hint="eastAsia" w:ascii="Times New Roman" w:hAnsi="Times New Roman"/>
          <w:color w:val="000000"/>
          <w:sz w:val="21"/>
          <w:szCs w:val="21"/>
        </w:rPr>
        <w:t>宜采取不产生或少产生粉尘的施工工艺、施工设备和工具，不得采用淘汰粉尘危害严重的施工工艺、施工设备和工具。</w:t>
      </w:r>
    </w:p>
    <w:p>
      <w:pPr>
        <w:pStyle w:val="40"/>
        <w:rPr>
          <w:rFonts w:ascii="Times New Roman" w:hAnsi="Times New Roman"/>
          <w:color w:val="000000"/>
          <w:sz w:val="21"/>
          <w:szCs w:val="21"/>
        </w:rPr>
      </w:pPr>
      <w:r>
        <w:rPr>
          <w:rFonts w:ascii="Times New Roman" w:hAnsi="Times New Roman"/>
          <w:b/>
          <w:bCs/>
          <w:color w:val="000000"/>
          <w:sz w:val="21"/>
          <w:szCs w:val="21"/>
        </w:rPr>
        <w:t>4.2.2</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 xml:space="preserve"> 采用机械化、自动化或密闭隔离操作。如挖土机、推土机、刮土机、铺路机、压路机等施工机械的驾驶室或操作室应密闭隔离，并在进风口设置滤尘装置。</w:t>
      </w:r>
    </w:p>
    <w:p>
      <w:pPr>
        <w:pStyle w:val="40"/>
        <w:rPr>
          <w:rFonts w:ascii="Times New Roman" w:hAnsi="Times New Roman"/>
          <w:color w:val="000000"/>
          <w:sz w:val="21"/>
          <w:szCs w:val="21"/>
        </w:rPr>
      </w:pPr>
      <w:r>
        <w:rPr>
          <w:rFonts w:ascii="Times New Roman" w:hAnsi="Times New Roman"/>
          <w:b/>
          <w:bCs/>
          <w:color w:val="000000"/>
          <w:sz w:val="21"/>
          <w:szCs w:val="21"/>
        </w:rPr>
        <w:t>4.2.3</w:t>
      </w:r>
      <w:r>
        <w:rPr>
          <w:rFonts w:hint="eastAsia" w:ascii="Times New Roman" w:hAnsi="Times New Roman"/>
          <w:color w:val="000000"/>
          <w:sz w:val="21"/>
          <w:szCs w:val="21"/>
        </w:rPr>
        <w:t xml:space="preserve"> </w:t>
      </w:r>
      <w:r>
        <w:rPr>
          <w:rFonts w:hint="eastAsia" w:ascii="Times New Roman" w:hAnsi="Times New Roman"/>
          <w:color w:val="000000"/>
          <w:sz w:val="21"/>
          <w:szCs w:val="21"/>
          <w:lang w:val="en-US" w:eastAsia="zh-CN"/>
        </w:rPr>
        <w:t xml:space="preserve"> </w:t>
      </w:r>
      <w:r>
        <w:rPr>
          <w:rFonts w:hint="eastAsia" w:ascii="Times New Roman" w:hAnsi="Times New Roman"/>
          <w:color w:val="000000"/>
          <w:sz w:val="21"/>
          <w:szCs w:val="21"/>
        </w:rPr>
        <w:t>采取湿式作业。如凿岩作业宜采用湿式凿岩机；爆破宜采用水封爆破；喷射混凝土宜采用湿喷；钻孔宜采用湿式钻孔；隧道爆破作业后应立即喷雾洒水；场地平整时，应配备洒水车，定时喷水作业；现场粉尘浓度较高时，应采取雾炮作业或围墙上设置雾状喷淋等湿式设施；拆除作业时应采用湿式作业拆除、装卸和运输含有石棉的建筑材料。</w:t>
      </w:r>
    </w:p>
    <w:p>
      <w:pPr>
        <w:spacing w:line="360" w:lineRule="auto"/>
        <w:rPr>
          <w:color w:val="000000"/>
          <w:szCs w:val="21"/>
        </w:rPr>
      </w:pP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依据《GBZ1》《建筑施工企业职业病危害防治技术规范》AQ/T4256和《建筑行业职业病危害预防控制规范》GBZ/T 211等技术标准，</w:t>
      </w:r>
      <w:r>
        <w:rPr>
          <w:rFonts w:hint="eastAsia" w:cs="Times New Roman" w:asciiTheme="minorEastAsia" w:hAnsiTheme="minorEastAsia"/>
          <w:bCs/>
          <w:i/>
          <w:iCs/>
          <w:szCs w:val="21"/>
          <w:u w:val="single"/>
          <w:lang w:eastAsia="zh-CN"/>
        </w:rPr>
        <w:t>对可能产生粉尘的工艺、设备提出工艺技术要求，源头上减少粉尘产生</w:t>
      </w:r>
      <w:r>
        <w:rPr>
          <w:rFonts w:hint="eastAsia" w:cs="Times New Roman" w:asciiTheme="minorEastAsia" w:hAnsiTheme="minorEastAsia"/>
          <w:bCs/>
          <w:i/>
          <w:iCs/>
          <w:szCs w:val="21"/>
          <w:u w:val="single"/>
        </w:rPr>
        <w:t>。</w:t>
      </w:r>
      <w:r>
        <w:rPr>
          <w:rFonts w:hint="eastAsia" w:eastAsia="楷体"/>
          <w:bCs/>
          <w:szCs w:val="21"/>
          <w:lang w:bidi="ar"/>
        </w:rPr>
        <w:t xml:space="preserve"> </w:t>
      </w:r>
    </w:p>
    <w:p>
      <w:pPr>
        <w:pStyle w:val="40"/>
        <w:rPr>
          <w:rFonts w:ascii="Times New Roman" w:hAnsi="Times New Roman"/>
          <w:sz w:val="21"/>
          <w:szCs w:val="21"/>
        </w:rPr>
      </w:pPr>
      <w:r>
        <w:rPr>
          <w:rFonts w:ascii="Times New Roman" w:hAnsi="Times New Roman"/>
          <w:b/>
          <w:bCs/>
          <w:color w:val="000000"/>
          <w:sz w:val="21"/>
          <w:szCs w:val="21"/>
        </w:rPr>
        <w:t>4.2.4</w:t>
      </w:r>
      <w:r>
        <w:rPr>
          <w:rFonts w:hint="eastAsia" w:ascii="Times New Roman" w:hAnsi="Times New Roman"/>
          <w:color w:val="000000"/>
          <w:sz w:val="21"/>
          <w:szCs w:val="21"/>
        </w:rPr>
        <w:t xml:space="preserve"> </w:t>
      </w:r>
      <w:r>
        <w:rPr>
          <w:rFonts w:hint="eastAsia" w:ascii="Times New Roman" w:hAnsi="Times New Roman"/>
          <w:color w:val="000000"/>
          <w:sz w:val="21"/>
          <w:szCs w:val="21"/>
          <w:lang w:val="en-US" w:eastAsia="zh-CN"/>
        </w:rPr>
        <w:t xml:space="preserve"> </w:t>
      </w:r>
      <w:r>
        <w:rPr>
          <w:rFonts w:hint="eastAsia" w:ascii="Times New Roman" w:hAnsi="Times New Roman"/>
          <w:color w:val="000000"/>
          <w:sz w:val="21"/>
          <w:szCs w:val="21"/>
        </w:rPr>
        <w:t>设置局部防尘设施和净化排放装置。如焊枪可配置带有排风罩的小型烟尘净化器；凿岩机、钻孔机等可设置捕尘器。</w:t>
      </w:r>
    </w:p>
    <w:p>
      <w:pPr>
        <w:pStyle w:val="40"/>
        <w:rPr>
          <w:rFonts w:ascii="Times New Roman" w:hAnsi="Times New Roman"/>
          <w:b/>
          <w:bCs/>
          <w:color w:val="000000"/>
          <w:sz w:val="21"/>
          <w:szCs w:val="21"/>
        </w:rPr>
      </w:pPr>
      <w:r>
        <w:rPr>
          <w:rFonts w:ascii="Times New Roman" w:hAnsi="Times New Roman"/>
          <w:b/>
          <w:bCs/>
          <w:color w:val="000000"/>
          <w:sz w:val="21"/>
          <w:szCs w:val="21"/>
        </w:rPr>
        <w:t>4.2.5</w:t>
      </w:r>
      <w:r>
        <w:rPr>
          <w:rFonts w:hint="eastAsia" w:ascii="Times New Roman" w:hAnsi="Times New Roman"/>
          <w:b/>
          <w:bCs/>
          <w:color w:val="000000"/>
          <w:sz w:val="21"/>
          <w:szCs w:val="21"/>
        </w:rPr>
        <w:t xml:space="preserve"> </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劳动者作业时应在上风向。</w:t>
      </w:r>
    </w:p>
    <w:p>
      <w:pPr>
        <w:pStyle w:val="40"/>
        <w:rPr>
          <w:rFonts w:ascii="Times New Roman" w:hAnsi="Times New Roman"/>
          <w:color w:val="000000"/>
          <w:sz w:val="21"/>
          <w:szCs w:val="21"/>
        </w:rPr>
      </w:pPr>
      <w:r>
        <w:rPr>
          <w:rFonts w:ascii="Times New Roman" w:hAnsi="Times New Roman"/>
          <w:b/>
          <w:bCs/>
          <w:color w:val="000000"/>
          <w:sz w:val="21"/>
          <w:szCs w:val="21"/>
        </w:rPr>
        <w:t>4.2.6</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 xml:space="preserve"> 施工单位应根据粉尘的种类和浓度为劳动者配备合适的呼吸防护用品，并定期更换。呼吸防护用品的配备应符合《呼吸防护用品的选择、使用与维护》GB/T18664的要求。在建筑物拆除作业中，可能接触含有石棉的物质（如石棉水泥板或石棉绝缘材料），为接触石棉的劳动者配备正压呼吸器等；在罐内焊接作业时，劳动者应佩戴送风头盔或送风口罩；安装玻璃棉、消声及保温材料时，劳动者必须佩戴防尘口罩。</w:t>
      </w:r>
    </w:p>
    <w:p>
      <w:pPr>
        <w:pStyle w:val="40"/>
        <w:rPr>
          <w:rFonts w:ascii="Times New Roman" w:hAnsi="Times New Roman"/>
          <w:color w:val="000000"/>
          <w:sz w:val="21"/>
          <w:szCs w:val="21"/>
        </w:rPr>
      </w:pPr>
      <w:r>
        <w:rPr>
          <w:rFonts w:ascii="Times New Roman" w:hAnsi="Times New Roman"/>
          <w:b/>
          <w:bCs/>
          <w:color w:val="000000"/>
          <w:sz w:val="21"/>
          <w:szCs w:val="21"/>
        </w:rPr>
        <w:t>4.2.7</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 xml:space="preserve"> 粉尘接触人员特别是石棉粉尘接触人员应做好戒烟/控烟教育。</w:t>
      </w:r>
    </w:p>
    <w:p>
      <w:pPr>
        <w:pStyle w:val="40"/>
        <w:rPr>
          <w:rFonts w:ascii="Times New Roman" w:hAnsi="Times New Roman"/>
          <w:color w:val="000000"/>
          <w:sz w:val="21"/>
          <w:szCs w:val="21"/>
        </w:rPr>
      </w:pPr>
      <w:r>
        <w:rPr>
          <w:rFonts w:ascii="Times New Roman" w:hAnsi="Times New Roman"/>
          <w:b/>
          <w:bCs/>
          <w:color w:val="000000"/>
          <w:sz w:val="21"/>
          <w:szCs w:val="21"/>
        </w:rPr>
        <w:t>4.2.8</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 xml:space="preserve"> 建筑物拆除和翻修作业时，在接触石棉的施工区域设置警示标识，禁止无关人员进入。宜采用无危害或危害较小的建筑材料。如不使用石棉、含有石棉的建筑材料。</w:t>
      </w:r>
    </w:p>
    <w:p>
      <w:pPr>
        <w:spacing w:line="360" w:lineRule="auto"/>
        <w:rPr>
          <w:color w:val="000000"/>
          <w:szCs w:val="21"/>
        </w:rPr>
      </w:pPr>
      <w:bookmarkStart w:id="49" w:name="_Toc94050270"/>
      <w:bookmarkStart w:id="50" w:name="_Toc101823017"/>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依据《GBZ1》《建筑施工企业职业病危害防治技术规范》AQ/T4256和《建筑行业职业病危害预防控制规范》GBZ/T 211等技术标准，</w:t>
      </w:r>
      <w:r>
        <w:rPr>
          <w:rFonts w:hint="eastAsia" w:cs="Times New Roman" w:asciiTheme="minorEastAsia" w:hAnsiTheme="minorEastAsia"/>
          <w:bCs/>
          <w:i/>
          <w:iCs/>
          <w:szCs w:val="21"/>
          <w:u w:val="single"/>
          <w:lang w:eastAsia="zh-CN"/>
        </w:rPr>
        <w:t>对在工艺不能避免产生粉尘的情况下，应采取局部防尘、除尘、湿式作业等工程防护措施，以及劳动者作业位置、个人防护用品等管理措施。</w:t>
      </w:r>
      <w:r>
        <w:rPr>
          <w:rFonts w:hint="eastAsia" w:eastAsia="楷体"/>
          <w:bCs/>
          <w:szCs w:val="21"/>
          <w:lang w:bidi="ar"/>
        </w:rPr>
        <w:t xml:space="preserve"> </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4.3 化学毒物防护</w:t>
      </w:r>
      <w:bookmarkEnd w:id="49"/>
      <w:bookmarkEnd w:id="50"/>
    </w:p>
    <w:p>
      <w:pPr>
        <w:pStyle w:val="40"/>
        <w:rPr>
          <w:rFonts w:ascii="Times New Roman" w:hAnsi="Times New Roman"/>
          <w:color w:val="000000"/>
          <w:sz w:val="21"/>
          <w:szCs w:val="21"/>
        </w:rPr>
      </w:pPr>
      <w:r>
        <w:rPr>
          <w:rFonts w:ascii="Times New Roman" w:hAnsi="Times New Roman"/>
          <w:b/>
          <w:bCs/>
          <w:color w:val="000000"/>
          <w:sz w:val="21"/>
          <w:szCs w:val="21"/>
        </w:rPr>
        <w:t>4.3.1</w:t>
      </w:r>
      <w:r>
        <w:rPr>
          <w:rFonts w:ascii="Times New Roman" w:hAnsi="Times New Roman"/>
          <w:color w:val="000000"/>
          <w:sz w:val="21"/>
          <w:szCs w:val="21"/>
        </w:rPr>
        <w:t xml:space="preserve">  </w:t>
      </w:r>
      <w:r>
        <w:rPr>
          <w:rFonts w:hint="eastAsia" w:ascii="Times New Roman" w:hAnsi="Times New Roman"/>
          <w:color w:val="000000"/>
          <w:sz w:val="21"/>
          <w:szCs w:val="21"/>
        </w:rPr>
        <w:t>优先选用无毒建筑材料，用无毒材料替代有毒材料、低毒材料替代高毒材料。如尽可能选用无毒水性涂料；用锌钡白、钛钡白替代油漆中的铅白，用铁红替代防锈漆中的铅丹等；以低毒的低锰焊条替代毒性较大的高锰焊条；不得使用国家明令禁止使用或者不符合国家标准的有毒化学品，禁止使用含苯的涂料、稀释剂和溶剂。尽可能减少有毒物品的使用量。</w:t>
      </w:r>
    </w:p>
    <w:p>
      <w:pPr>
        <w:pStyle w:val="40"/>
        <w:rPr>
          <w:rFonts w:ascii="Times New Roman" w:hAnsi="Times New Roman"/>
          <w:color w:val="000000"/>
          <w:sz w:val="21"/>
          <w:szCs w:val="21"/>
        </w:rPr>
      </w:pPr>
      <w:r>
        <w:rPr>
          <w:rFonts w:ascii="Times New Roman" w:hAnsi="Times New Roman"/>
          <w:b/>
          <w:bCs/>
          <w:color w:val="000000"/>
          <w:sz w:val="21"/>
          <w:szCs w:val="21"/>
        </w:rPr>
        <w:t>4.3.2</w:t>
      </w:r>
      <w:r>
        <w:rPr>
          <w:rFonts w:hint="eastAsia" w:ascii="Times New Roman" w:hAnsi="Times New Roman"/>
          <w:color w:val="000000"/>
          <w:sz w:val="21"/>
          <w:szCs w:val="21"/>
        </w:rPr>
        <w:t xml:space="preserve"> </w:t>
      </w:r>
      <w:r>
        <w:rPr>
          <w:rFonts w:hint="eastAsia" w:ascii="Times New Roman" w:hAnsi="Times New Roman"/>
          <w:color w:val="000000"/>
          <w:sz w:val="21"/>
          <w:szCs w:val="21"/>
          <w:lang w:val="en-US" w:eastAsia="zh-CN"/>
        </w:rPr>
        <w:t xml:space="preserve"> </w:t>
      </w:r>
      <w:r>
        <w:rPr>
          <w:rFonts w:hint="eastAsia" w:ascii="Times New Roman" w:hAnsi="Times New Roman"/>
          <w:color w:val="000000"/>
          <w:sz w:val="21"/>
          <w:szCs w:val="21"/>
        </w:rPr>
        <w:t>尽可能采用可降低场所化学毒物浓度的施工工艺和施工技术，使施工场所的化学毒物浓度符合《工作场所有害因素职业接触限值 第l部分：化学有害因素》GBZ2.1的要求，如涂料施工时用粉刷或辊刷替代喷涂。在高毒作业场所尽可能使用机械化、自动化或密闭隔离操作，使劳动者不接触或少接触高毒物品。</w:t>
      </w:r>
    </w:p>
    <w:p>
      <w:pPr>
        <w:spacing w:line="360" w:lineRule="auto"/>
        <w:rPr>
          <w:color w:val="000000"/>
          <w:szCs w:val="21"/>
        </w:rPr>
      </w:pP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依据《GBZ1》《建筑施工企业职业病危害防治技术规范》AQ/T4256和《建筑行业职业病危害预防控制规范》GBZ/T 211等技术标准，</w:t>
      </w:r>
      <w:r>
        <w:rPr>
          <w:rFonts w:hint="eastAsia" w:cs="Times New Roman" w:asciiTheme="minorEastAsia" w:hAnsiTheme="minorEastAsia"/>
          <w:bCs/>
          <w:i/>
          <w:iCs/>
          <w:szCs w:val="21"/>
          <w:u w:val="single"/>
          <w:lang w:eastAsia="zh-CN"/>
        </w:rPr>
        <w:t>对可能产生毒物的原料、工艺、设备提出工艺技术要求，源头上减少毒物产生</w:t>
      </w:r>
      <w:r>
        <w:rPr>
          <w:rFonts w:hint="eastAsia" w:cs="Times New Roman" w:asciiTheme="minorEastAsia" w:hAnsiTheme="minorEastAsia"/>
          <w:bCs/>
          <w:i/>
          <w:iCs/>
          <w:szCs w:val="21"/>
          <w:u w:val="single"/>
        </w:rPr>
        <w:t>。</w:t>
      </w:r>
      <w:r>
        <w:rPr>
          <w:rFonts w:hint="eastAsia" w:eastAsia="楷体"/>
          <w:bCs/>
          <w:szCs w:val="21"/>
          <w:lang w:bidi="ar"/>
        </w:rPr>
        <w:t xml:space="preserve"> </w:t>
      </w:r>
    </w:p>
    <w:p>
      <w:pPr>
        <w:pStyle w:val="40"/>
        <w:rPr>
          <w:rFonts w:hint="eastAsia" w:ascii="Times New Roman" w:hAnsi="Times New Roman" w:eastAsiaTheme="minorEastAsia"/>
          <w:color w:val="000000"/>
          <w:sz w:val="21"/>
          <w:szCs w:val="21"/>
          <w:lang w:eastAsia="zh-CN"/>
        </w:rPr>
      </w:pPr>
      <w:r>
        <w:rPr>
          <w:rFonts w:ascii="Times New Roman" w:hAnsi="Times New Roman"/>
          <w:b/>
          <w:bCs/>
          <w:color w:val="000000"/>
          <w:sz w:val="21"/>
          <w:szCs w:val="21"/>
        </w:rPr>
        <w:t>4.3.3</w:t>
      </w:r>
      <w:r>
        <w:rPr>
          <w:rFonts w:ascii="Times New Roman" w:hAnsi="Times New Roman"/>
          <w:color w:val="000000"/>
          <w:sz w:val="21"/>
          <w:szCs w:val="21"/>
        </w:rPr>
        <w:t xml:space="preserve"> </w:t>
      </w:r>
      <w:r>
        <w:rPr>
          <w:rFonts w:hint="eastAsia" w:ascii="Times New Roman" w:hAnsi="Times New Roman"/>
          <w:color w:val="000000"/>
          <w:sz w:val="21"/>
          <w:szCs w:val="21"/>
          <w:lang w:val="en-US" w:eastAsia="zh-CN"/>
        </w:rPr>
        <w:t xml:space="preserve"> </w:t>
      </w:r>
      <w:r>
        <w:rPr>
          <w:rFonts w:hint="eastAsia" w:ascii="Times New Roman" w:hAnsi="Times New Roman"/>
          <w:color w:val="000000"/>
          <w:sz w:val="21"/>
          <w:szCs w:val="21"/>
        </w:rPr>
        <w:t>在使用有机溶剂、稀料、涂料或挥发性化学物质时，应当设置全面通风或局部通风设施；电焊作业时，设置局部通风防尘装置；所有挖方工程、竖井、土方工程、地下工程、隧道等密闭空间作业应当设置通风设施，保证足够的新风量。不同类型施工场所的新风量要求</w:t>
      </w:r>
      <w:r>
        <w:rPr>
          <w:rFonts w:hint="eastAsia" w:ascii="Times New Roman" w:hAnsi="Times New Roman"/>
          <w:color w:val="000000"/>
          <w:sz w:val="21"/>
          <w:szCs w:val="21"/>
          <w:lang w:eastAsia="zh-CN"/>
        </w:rPr>
        <w:t>参见表表4.3.3。</w:t>
      </w:r>
    </w:p>
    <w:p>
      <w:pPr>
        <w:keepNext w:val="0"/>
        <w:keepLines w:val="0"/>
        <w:pageBreakBefore w:val="0"/>
        <w:widowControl w:val="0"/>
        <w:kinsoku/>
        <w:wordWrap/>
        <w:overflowPunct/>
        <w:topLinePunct w:val="0"/>
        <w:autoSpaceDE/>
        <w:autoSpaceDN/>
        <w:bidi w:val="0"/>
        <w:adjustRightInd/>
        <w:snapToGrid/>
        <w:spacing w:before="312" w:beforeLines="100" w:after="313" w:afterLines="100" w:line="240" w:lineRule="auto"/>
        <w:jc w:val="center"/>
        <w:textAlignment w:val="auto"/>
        <w:rPr>
          <w:rFonts w:hint="eastAsia" w:ascii="Times New Roman" w:hAnsi="Times New Roman" w:eastAsia="宋体"/>
          <w:b/>
          <w:color w:val="000000"/>
          <w:szCs w:val="21"/>
          <w:lang w:eastAsia="zh-CN"/>
        </w:rPr>
      </w:pPr>
      <w:r>
        <w:rPr>
          <w:rFonts w:hint="eastAsia" w:ascii="Times New Roman" w:hAnsi="Times New Roman" w:eastAsia="宋体"/>
          <w:b/>
          <w:color w:val="000000"/>
          <w:szCs w:val="21"/>
        </w:rPr>
        <w:t>表</w:t>
      </w:r>
      <w:r>
        <w:rPr>
          <w:rFonts w:hint="eastAsia" w:ascii="Times New Roman" w:hAnsi="Times New Roman" w:eastAsia="宋体"/>
          <w:b/>
          <w:color w:val="000000"/>
          <w:szCs w:val="21"/>
          <w:lang w:val="en-US" w:eastAsia="zh-CN"/>
        </w:rPr>
        <w:t>4</w:t>
      </w:r>
      <w:r>
        <w:rPr>
          <w:rFonts w:hint="eastAsia" w:ascii="Times New Roman" w:hAnsi="Times New Roman" w:eastAsia="宋体"/>
          <w:b/>
          <w:color w:val="000000"/>
          <w:szCs w:val="21"/>
        </w:rPr>
        <w:t>.</w:t>
      </w:r>
      <w:r>
        <w:rPr>
          <w:rFonts w:hint="eastAsia" w:ascii="Times New Roman" w:hAnsi="Times New Roman" w:eastAsia="宋体"/>
          <w:b/>
          <w:color w:val="000000"/>
          <w:szCs w:val="21"/>
          <w:lang w:val="en-US" w:eastAsia="zh-CN"/>
        </w:rPr>
        <w:t>3</w:t>
      </w:r>
      <w:r>
        <w:rPr>
          <w:rFonts w:hint="eastAsia" w:ascii="Times New Roman" w:hAnsi="Times New Roman" w:eastAsia="宋体"/>
          <w:b/>
          <w:color w:val="000000"/>
          <w:szCs w:val="21"/>
        </w:rPr>
        <w:t>.</w:t>
      </w:r>
      <w:r>
        <w:rPr>
          <w:rFonts w:hint="eastAsia" w:ascii="Times New Roman" w:hAnsi="Times New Roman" w:eastAsia="宋体"/>
          <w:b/>
          <w:color w:val="000000"/>
          <w:szCs w:val="21"/>
          <w:lang w:val="en-US" w:eastAsia="zh-CN"/>
        </w:rPr>
        <w:t>3</w:t>
      </w:r>
      <w:r>
        <w:rPr>
          <w:rFonts w:hint="eastAsia" w:ascii="Times New Roman" w:hAnsi="Times New Roman" w:eastAsia="宋体"/>
          <w:b/>
          <w:color w:val="000000"/>
          <w:szCs w:val="21"/>
        </w:rPr>
        <w:t xml:space="preserve">  </w:t>
      </w:r>
      <w:r>
        <w:rPr>
          <w:rFonts w:hint="eastAsia" w:ascii="Times New Roman" w:hAnsi="Times New Roman" w:eastAsia="宋体"/>
          <w:b/>
          <w:color w:val="000000"/>
          <w:szCs w:val="21"/>
          <w:lang w:eastAsia="zh-CN"/>
        </w:rPr>
        <w:t>不同类型施工场所的</w:t>
      </w:r>
      <w:r>
        <w:rPr>
          <w:rFonts w:hint="eastAsia" w:ascii="Times New Roman" w:hAnsi="Times New Roman" w:eastAsia="宋体"/>
          <w:b/>
          <w:color w:val="000000"/>
          <w:szCs w:val="21"/>
        </w:rPr>
        <w:t>新风量</w:t>
      </w:r>
      <w:r>
        <w:rPr>
          <w:rFonts w:hint="eastAsia" w:ascii="Times New Roman" w:hAnsi="Times New Roman" w:eastAsia="宋体"/>
          <w:b/>
          <w:color w:val="000000"/>
          <w:szCs w:val="21"/>
          <w:lang w:eastAsia="zh-CN"/>
        </w:rPr>
        <w:t>要求</w:t>
      </w:r>
    </w:p>
    <w:tbl>
      <w:tblPr>
        <w:tblStyle w:val="21"/>
        <w:tblW w:w="877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2503"/>
        <w:gridCol w:w="1781"/>
        <w:gridCol w:w="4487"/>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86" w:hRule="atLeast"/>
          <w:tblHeader/>
          <w:jc w:val="center"/>
        </w:trPr>
        <w:tc>
          <w:tcPr>
            <w:tcW w:w="2503" w:type="dxa"/>
            <w:vAlign w:val="center"/>
          </w:tcPr>
          <w:p>
            <w:pPr>
              <w:pStyle w:val="36"/>
              <w:spacing w:line="360" w:lineRule="auto"/>
              <w:ind w:firstLine="0" w:firstLineChars="0"/>
              <w:jc w:val="center"/>
              <w:rPr>
                <w:rFonts w:hint="eastAsia" w:ascii="Times New Roman" w:hAnsi="Times New Roman" w:eastAsia="宋体"/>
                <w:bCs/>
                <w:color w:val="000000"/>
                <w:szCs w:val="21"/>
                <w:highlight w:val="none"/>
                <w:lang w:eastAsia="zh-CN"/>
              </w:rPr>
            </w:pPr>
            <w:r>
              <w:rPr>
                <w:rFonts w:hint="eastAsia" w:ascii="Times New Roman" w:hAnsi="Times New Roman" w:eastAsia="宋体"/>
                <w:bCs/>
                <w:color w:val="000000"/>
                <w:szCs w:val="21"/>
                <w:highlight w:val="none"/>
              </w:rPr>
              <w:t>施工场所</w:t>
            </w:r>
            <w:r>
              <w:rPr>
                <w:rFonts w:hint="eastAsia" w:ascii="Times New Roman" w:hAnsi="Times New Roman" w:eastAsia="宋体"/>
                <w:bCs/>
                <w:color w:val="000000"/>
                <w:szCs w:val="21"/>
                <w:highlight w:val="none"/>
                <w:lang w:eastAsia="zh-CN"/>
              </w:rPr>
              <w:t>类型</w:t>
            </w:r>
          </w:p>
        </w:tc>
        <w:tc>
          <w:tcPr>
            <w:tcW w:w="1781" w:type="dxa"/>
            <w:vAlign w:val="center"/>
          </w:tcPr>
          <w:p>
            <w:pPr>
              <w:pStyle w:val="36"/>
              <w:spacing w:line="360" w:lineRule="auto"/>
              <w:ind w:firstLine="0" w:firstLineChars="0"/>
              <w:jc w:val="center"/>
              <w:rPr>
                <w:rFonts w:hint="eastAsia" w:ascii="Times New Roman" w:hAnsi="Times New Roman" w:eastAsia="宋体"/>
                <w:bCs/>
                <w:color w:val="000000"/>
                <w:szCs w:val="21"/>
                <w:highlight w:val="none"/>
                <w:lang w:eastAsia="zh-CN"/>
              </w:rPr>
            </w:pPr>
            <w:r>
              <w:rPr>
                <w:rFonts w:hint="eastAsia" w:ascii="Times New Roman" w:hAnsi="Times New Roman" w:eastAsia="宋体"/>
                <w:bCs/>
                <w:color w:val="000000"/>
                <w:szCs w:val="21"/>
                <w:highlight w:val="none"/>
                <w:lang w:eastAsia="zh-CN"/>
              </w:rPr>
              <w:t>人均占用容积</w:t>
            </w:r>
          </w:p>
        </w:tc>
        <w:tc>
          <w:tcPr>
            <w:tcW w:w="4487" w:type="dxa"/>
            <w:vAlign w:val="center"/>
          </w:tcPr>
          <w:p>
            <w:pPr>
              <w:pStyle w:val="36"/>
              <w:spacing w:line="360" w:lineRule="auto"/>
              <w:ind w:firstLine="0" w:firstLineChars="0"/>
              <w:jc w:val="center"/>
              <w:rPr>
                <w:rFonts w:hint="eastAsia" w:ascii="Times New Roman" w:hAnsi="Times New Roman" w:eastAsia="宋体"/>
                <w:bCs/>
                <w:color w:val="000000"/>
                <w:szCs w:val="21"/>
                <w:highlight w:val="none"/>
                <w:lang w:eastAsia="zh-CN"/>
              </w:rPr>
            </w:pPr>
            <w:r>
              <w:rPr>
                <w:rFonts w:hint="eastAsia" w:ascii="Times New Roman" w:hAnsi="Times New Roman" w:eastAsia="宋体"/>
                <w:bCs/>
                <w:color w:val="000000"/>
                <w:sz w:val="21"/>
                <w:szCs w:val="21"/>
                <w:highlight w:val="none"/>
              </w:rPr>
              <w:t>新风量</w:t>
            </w:r>
            <w:r>
              <w:rPr>
                <w:rFonts w:hint="eastAsia" w:ascii="Times New Roman" w:hAnsi="Times New Roman" w:eastAsia="宋体"/>
                <w:bCs/>
                <w:color w:val="000000"/>
                <w:sz w:val="21"/>
                <w:szCs w:val="21"/>
                <w:highlight w:val="none"/>
                <w:lang w:eastAsia="zh-CN"/>
              </w:rPr>
              <w:t>要求</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86" w:hRule="atLeast"/>
          <w:jc w:val="center"/>
        </w:trPr>
        <w:tc>
          <w:tcPr>
            <w:tcW w:w="2503" w:type="dxa"/>
            <w:vMerge w:val="restart"/>
            <w:vAlign w:val="center"/>
          </w:tcPr>
          <w:p>
            <w:pPr>
              <w:pStyle w:val="36"/>
              <w:spacing w:line="360" w:lineRule="auto"/>
              <w:ind w:firstLine="0" w:firstLineChars="0"/>
              <w:jc w:val="center"/>
              <w:rPr>
                <w:rFonts w:ascii="Times New Roman" w:hAnsi="Times New Roman" w:eastAsia="宋体"/>
                <w:bCs/>
                <w:color w:val="000000"/>
                <w:szCs w:val="21"/>
                <w:highlight w:val="none"/>
              </w:rPr>
            </w:pPr>
            <w:r>
              <w:rPr>
                <w:rFonts w:hint="eastAsia" w:ascii="Times New Roman" w:hAnsi="Times New Roman"/>
                <w:color w:val="000000"/>
                <w:sz w:val="21"/>
                <w:szCs w:val="21"/>
                <w:highlight w:val="none"/>
              </w:rPr>
              <w:t>非空调施工场所</w:t>
            </w:r>
          </w:p>
        </w:tc>
        <w:tc>
          <w:tcPr>
            <w:tcW w:w="1781" w:type="dxa"/>
            <w:vAlign w:val="center"/>
          </w:tcPr>
          <w:p>
            <w:pPr>
              <w:pStyle w:val="36"/>
              <w:spacing w:line="360" w:lineRule="auto"/>
              <w:ind w:firstLine="0" w:firstLineChars="0"/>
              <w:jc w:val="center"/>
              <w:rPr>
                <w:rFonts w:hint="eastAsia" w:ascii="Times New Roman" w:hAnsi="Times New Roman" w:eastAsia="宋体"/>
                <w:bCs/>
                <w:color w:val="000000"/>
                <w:szCs w:val="21"/>
                <w:highlight w:val="none"/>
              </w:rPr>
            </w:pPr>
            <w:r>
              <w:rPr>
                <w:rFonts w:hint="eastAsia" w:ascii="Times New Roman" w:hAnsi="Times New Roman"/>
                <w:color w:val="000000"/>
                <w:sz w:val="21"/>
                <w:szCs w:val="21"/>
                <w:highlight w:val="none"/>
              </w:rPr>
              <w:t>小于2</w:t>
            </w:r>
            <w:r>
              <w:rPr>
                <w:rFonts w:ascii="Times New Roman" w:hAnsi="Times New Roman"/>
                <w:color w:val="000000"/>
                <w:sz w:val="21"/>
                <w:szCs w:val="21"/>
                <w:highlight w:val="none"/>
              </w:rPr>
              <w:t>0</w:t>
            </w:r>
            <w:r>
              <w:rPr>
                <w:rFonts w:hint="eastAsia" w:ascii="Times New Roman" w:hAnsi="Times New Roman"/>
                <w:color w:val="000000"/>
                <w:sz w:val="21"/>
                <w:szCs w:val="21"/>
                <w:highlight w:val="none"/>
              </w:rPr>
              <w:t>m</w:t>
            </w:r>
            <w:r>
              <w:rPr>
                <w:rFonts w:ascii="Times New Roman" w:hAnsi="Times New Roman"/>
                <w:color w:val="000000"/>
                <w:sz w:val="21"/>
                <w:szCs w:val="21"/>
                <w:highlight w:val="none"/>
                <w:vertAlign w:val="superscript"/>
              </w:rPr>
              <w:t>3</w:t>
            </w:r>
          </w:p>
        </w:tc>
        <w:tc>
          <w:tcPr>
            <w:tcW w:w="4487" w:type="dxa"/>
            <w:vAlign w:val="center"/>
          </w:tcPr>
          <w:p>
            <w:pPr>
              <w:pStyle w:val="36"/>
              <w:spacing w:line="360" w:lineRule="auto"/>
              <w:ind w:firstLine="0" w:firstLineChars="0"/>
              <w:jc w:val="center"/>
              <w:rPr>
                <w:rFonts w:ascii="Times New Roman" w:hAnsi="Times New Roman" w:eastAsia="宋体"/>
                <w:bCs/>
                <w:color w:val="000000"/>
                <w:szCs w:val="21"/>
                <w:highlight w:val="none"/>
              </w:rPr>
            </w:pPr>
            <w:r>
              <w:rPr>
                <w:rFonts w:hint="eastAsia" w:ascii="Times New Roman" w:hAnsi="Times New Roman"/>
                <w:color w:val="000000"/>
                <w:sz w:val="21"/>
                <w:szCs w:val="21"/>
                <w:highlight w:val="none"/>
              </w:rPr>
              <w:t>大于等于</w:t>
            </w:r>
            <w:r>
              <w:rPr>
                <w:rFonts w:ascii="Times New Roman" w:hAnsi="Times New Roman"/>
                <w:color w:val="000000"/>
                <w:sz w:val="21"/>
                <w:szCs w:val="21"/>
                <w:highlight w:val="none"/>
              </w:rPr>
              <w:t>30</w:t>
            </w:r>
            <w:r>
              <w:rPr>
                <w:rFonts w:hint="eastAsia" w:ascii="Times New Roman" w:hAnsi="Times New Roman"/>
                <w:color w:val="000000"/>
                <w:sz w:val="21"/>
                <w:szCs w:val="21"/>
                <w:highlight w:val="none"/>
              </w:rPr>
              <w:t>m</w:t>
            </w:r>
            <w:r>
              <w:rPr>
                <w:rFonts w:ascii="Times New Roman" w:hAnsi="Times New Roman"/>
                <w:color w:val="000000"/>
                <w:sz w:val="21"/>
                <w:szCs w:val="21"/>
                <w:highlight w:val="none"/>
                <w:vertAlign w:val="superscript"/>
              </w:rPr>
              <w:t>3</w:t>
            </w:r>
            <w:r>
              <w:rPr>
                <w:rFonts w:ascii="Times New Roman" w:hAnsi="Times New Roman"/>
                <w:color w:val="000000"/>
                <w:sz w:val="21"/>
                <w:szCs w:val="21"/>
                <w:highlight w:val="none"/>
              </w:rPr>
              <w:t>/</w:t>
            </w:r>
            <w:r>
              <w:rPr>
                <w:rFonts w:hint="eastAsia" w:ascii="Times New Roman" w:hAnsi="Times New Roman"/>
                <w:color w:val="000000"/>
                <w:sz w:val="21"/>
                <w:szCs w:val="21"/>
                <w:highlight w:val="none"/>
              </w:rPr>
              <w:t>h</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393" w:hRule="atLeast"/>
          <w:jc w:val="center"/>
        </w:trPr>
        <w:tc>
          <w:tcPr>
            <w:tcW w:w="2503" w:type="dxa"/>
            <w:vMerge w:val="continue"/>
            <w:vAlign w:val="center"/>
          </w:tcPr>
          <w:p>
            <w:pPr>
              <w:pStyle w:val="36"/>
              <w:spacing w:line="360" w:lineRule="auto"/>
              <w:ind w:firstLine="0" w:firstLineChars="0"/>
              <w:jc w:val="center"/>
              <w:rPr>
                <w:rFonts w:ascii="Times New Roman" w:hAnsi="Times New Roman" w:eastAsia="宋体"/>
                <w:bCs/>
                <w:color w:val="000000"/>
                <w:szCs w:val="21"/>
                <w:highlight w:val="none"/>
              </w:rPr>
            </w:pPr>
          </w:p>
        </w:tc>
        <w:tc>
          <w:tcPr>
            <w:tcW w:w="1781" w:type="dxa"/>
            <w:vAlign w:val="center"/>
          </w:tcPr>
          <w:p>
            <w:pPr>
              <w:pStyle w:val="36"/>
              <w:spacing w:line="360" w:lineRule="auto"/>
              <w:ind w:firstLine="0" w:firstLineChars="0"/>
              <w:jc w:val="center"/>
              <w:rPr>
                <w:rFonts w:hint="eastAsia" w:ascii="Times New Roman" w:hAnsi="Times New Roman" w:eastAsia="宋体"/>
                <w:bCs/>
                <w:color w:val="000000"/>
                <w:szCs w:val="21"/>
                <w:highlight w:val="none"/>
              </w:rPr>
            </w:pPr>
            <w:r>
              <w:rPr>
                <w:rFonts w:hint="eastAsia" w:ascii="Times New Roman" w:hAnsi="Times New Roman"/>
                <w:color w:val="000000"/>
                <w:sz w:val="21"/>
                <w:szCs w:val="21"/>
                <w:highlight w:val="none"/>
              </w:rPr>
              <w:t>大于等于2</w:t>
            </w:r>
            <w:r>
              <w:rPr>
                <w:rFonts w:ascii="Times New Roman" w:hAnsi="Times New Roman"/>
                <w:color w:val="000000"/>
                <w:sz w:val="21"/>
                <w:szCs w:val="21"/>
                <w:highlight w:val="none"/>
              </w:rPr>
              <w:t>0</w:t>
            </w:r>
            <w:r>
              <w:rPr>
                <w:rFonts w:hint="eastAsia" w:ascii="Times New Roman" w:hAnsi="Times New Roman"/>
                <w:color w:val="000000"/>
                <w:sz w:val="21"/>
                <w:szCs w:val="21"/>
                <w:highlight w:val="none"/>
              </w:rPr>
              <w:t>m</w:t>
            </w:r>
            <w:r>
              <w:rPr>
                <w:rFonts w:ascii="Times New Roman" w:hAnsi="Times New Roman"/>
                <w:color w:val="000000"/>
                <w:sz w:val="21"/>
                <w:szCs w:val="21"/>
                <w:highlight w:val="none"/>
                <w:vertAlign w:val="superscript"/>
              </w:rPr>
              <w:t>3</w:t>
            </w:r>
          </w:p>
        </w:tc>
        <w:tc>
          <w:tcPr>
            <w:tcW w:w="4487" w:type="dxa"/>
            <w:vAlign w:val="center"/>
          </w:tcPr>
          <w:p>
            <w:pPr>
              <w:pStyle w:val="36"/>
              <w:spacing w:line="360" w:lineRule="auto"/>
              <w:ind w:firstLine="0" w:firstLineChars="0"/>
              <w:jc w:val="center"/>
              <w:rPr>
                <w:rFonts w:ascii="Times New Roman" w:hAnsi="Times New Roman" w:eastAsia="宋体"/>
                <w:bCs/>
                <w:color w:val="000000"/>
                <w:szCs w:val="21"/>
                <w:highlight w:val="none"/>
              </w:rPr>
            </w:pPr>
            <w:r>
              <w:rPr>
                <w:rFonts w:hint="eastAsia" w:ascii="Times New Roman" w:hAnsi="Times New Roman"/>
                <w:color w:val="000000"/>
                <w:sz w:val="21"/>
                <w:szCs w:val="21"/>
                <w:highlight w:val="none"/>
              </w:rPr>
              <w:t>大于等于2</w:t>
            </w:r>
            <w:r>
              <w:rPr>
                <w:rFonts w:ascii="Times New Roman" w:hAnsi="Times New Roman"/>
                <w:color w:val="000000"/>
                <w:sz w:val="21"/>
                <w:szCs w:val="21"/>
                <w:highlight w:val="none"/>
              </w:rPr>
              <w:t>0</w:t>
            </w:r>
            <w:r>
              <w:rPr>
                <w:rFonts w:hint="eastAsia" w:ascii="Times New Roman" w:hAnsi="Times New Roman"/>
                <w:color w:val="000000"/>
                <w:sz w:val="21"/>
                <w:szCs w:val="21"/>
                <w:highlight w:val="none"/>
              </w:rPr>
              <w:t>m</w:t>
            </w:r>
            <w:r>
              <w:rPr>
                <w:rFonts w:ascii="Times New Roman" w:hAnsi="Times New Roman"/>
                <w:color w:val="000000"/>
                <w:sz w:val="21"/>
                <w:szCs w:val="21"/>
                <w:highlight w:val="none"/>
                <w:vertAlign w:val="superscript"/>
              </w:rPr>
              <w:t>3</w:t>
            </w:r>
            <w:r>
              <w:rPr>
                <w:rFonts w:ascii="Times New Roman" w:hAnsi="Times New Roman"/>
                <w:color w:val="000000"/>
                <w:sz w:val="21"/>
                <w:szCs w:val="21"/>
                <w:highlight w:val="none"/>
              </w:rPr>
              <w:t>/</w:t>
            </w:r>
            <w:r>
              <w:rPr>
                <w:rFonts w:hint="eastAsia" w:ascii="Times New Roman" w:hAnsi="Times New Roman"/>
                <w:color w:val="000000"/>
                <w:sz w:val="21"/>
                <w:szCs w:val="21"/>
                <w:highlight w:val="none"/>
              </w:rPr>
              <w:t>h</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226" w:hRule="atLeast"/>
          <w:jc w:val="center"/>
        </w:trPr>
        <w:tc>
          <w:tcPr>
            <w:tcW w:w="2503" w:type="dxa"/>
            <w:vAlign w:val="center"/>
          </w:tcPr>
          <w:p>
            <w:pPr>
              <w:pStyle w:val="36"/>
              <w:spacing w:line="360" w:lineRule="auto"/>
              <w:ind w:firstLine="0" w:firstLineChars="0"/>
              <w:jc w:val="center"/>
              <w:rPr>
                <w:rFonts w:ascii="Times New Roman" w:hAnsi="Times New Roman" w:eastAsia="宋体"/>
                <w:bCs/>
                <w:color w:val="000000"/>
                <w:szCs w:val="21"/>
                <w:highlight w:val="none"/>
              </w:rPr>
            </w:pPr>
            <w:r>
              <w:rPr>
                <w:rFonts w:hint="eastAsia" w:ascii="Times New Roman" w:hAnsi="Times New Roman"/>
                <w:color w:val="000000"/>
                <w:sz w:val="21"/>
                <w:szCs w:val="21"/>
                <w:highlight w:val="none"/>
              </w:rPr>
              <w:t>空调施工场所</w:t>
            </w:r>
          </w:p>
        </w:tc>
        <w:tc>
          <w:tcPr>
            <w:tcW w:w="1781" w:type="dxa"/>
            <w:vAlign w:val="center"/>
          </w:tcPr>
          <w:p>
            <w:pPr>
              <w:pStyle w:val="36"/>
              <w:spacing w:line="360" w:lineRule="auto"/>
              <w:ind w:firstLine="0" w:firstLineChars="0"/>
              <w:jc w:val="center"/>
              <w:rPr>
                <w:rFonts w:hint="eastAsia" w:ascii="Times New Roman" w:hAnsi="Times New Roman" w:eastAsia="宋体"/>
                <w:bCs/>
                <w:color w:val="000000"/>
                <w:szCs w:val="21"/>
                <w:highlight w:val="none"/>
                <w:lang w:eastAsia="zh-CN"/>
              </w:rPr>
            </w:pPr>
            <w:r>
              <w:rPr>
                <w:rFonts w:hint="eastAsia" w:ascii="Times New Roman" w:hAnsi="Times New Roman" w:eastAsia="宋体"/>
                <w:bCs/>
                <w:color w:val="000000"/>
                <w:szCs w:val="21"/>
                <w:highlight w:val="none"/>
                <w:lang w:eastAsia="zh-CN"/>
              </w:rPr>
              <w:t>——</w:t>
            </w:r>
          </w:p>
        </w:tc>
        <w:tc>
          <w:tcPr>
            <w:tcW w:w="4487" w:type="dxa"/>
            <w:vAlign w:val="center"/>
          </w:tcPr>
          <w:p>
            <w:pPr>
              <w:pStyle w:val="36"/>
              <w:spacing w:line="360" w:lineRule="auto"/>
              <w:ind w:firstLine="0" w:firstLineChars="0"/>
              <w:jc w:val="center"/>
              <w:rPr>
                <w:rFonts w:ascii="Times New Roman" w:hAnsi="Times New Roman" w:eastAsia="宋体"/>
                <w:bCs/>
                <w:color w:val="000000"/>
                <w:szCs w:val="21"/>
                <w:highlight w:val="none"/>
              </w:rPr>
            </w:pPr>
            <w:r>
              <w:rPr>
                <w:rFonts w:hint="eastAsia" w:ascii="Times New Roman" w:hAnsi="Times New Roman"/>
                <w:color w:val="000000"/>
                <w:sz w:val="21"/>
                <w:szCs w:val="21"/>
                <w:highlight w:val="none"/>
              </w:rPr>
              <w:t>大于等于</w:t>
            </w:r>
            <w:r>
              <w:rPr>
                <w:rFonts w:ascii="Times New Roman" w:hAnsi="Times New Roman"/>
                <w:color w:val="000000"/>
                <w:sz w:val="21"/>
                <w:szCs w:val="21"/>
                <w:highlight w:val="none"/>
              </w:rPr>
              <w:t>30</w:t>
            </w:r>
            <w:r>
              <w:rPr>
                <w:rFonts w:hint="eastAsia" w:ascii="Times New Roman" w:hAnsi="Times New Roman"/>
                <w:color w:val="000000"/>
                <w:sz w:val="21"/>
                <w:szCs w:val="21"/>
                <w:highlight w:val="none"/>
              </w:rPr>
              <w:t>m</w:t>
            </w:r>
            <w:r>
              <w:rPr>
                <w:rFonts w:ascii="Times New Roman" w:hAnsi="Times New Roman"/>
                <w:color w:val="000000"/>
                <w:sz w:val="21"/>
                <w:szCs w:val="21"/>
                <w:highlight w:val="none"/>
                <w:vertAlign w:val="superscript"/>
              </w:rPr>
              <w:t>3</w:t>
            </w:r>
            <w:r>
              <w:rPr>
                <w:rFonts w:ascii="Times New Roman" w:hAnsi="Times New Roman"/>
                <w:color w:val="000000"/>
                <w:sz w:val="21"/>
                <w:szCs w:val="21"/>
                <w:highlight w:val="none"/>
              </w:rPr>
              <w:t>/</w:t>
            </w:r>
            <w:r>
              <w:rPr>
                <w:rFonts w:hint="eastAsia" w:ascii="Times New Roman" w:hAnsi="Times New Roman"/>
                <w:color w:val="000000"/>
                <w:sz w:val="21"/>
                <w:szCs w:val="21"/>
                <w:highlight w:val="none"/>
              </w:rPr>
              <w:t>h</w:t>
            </w:r>
          </w:p>
        </w:tc>
      </w:tr>
    </w:tbl>
    <w:p>
      <w:pPr>
        <w:pStyle w:val="40"/>
        <w:ind w:firstLine="420" w:firstLineChars="200"/>
        <w:rPr>
          <w:rFonts w:hint="eastAsia" w:ascii="Times New Roman" w:hAnsi="Times New Roman" w:eastAsiaTheme="minorEastAsia"/>
          <w:color w:val="000000"/>
          <w:sz w:val="21"/>
          <w:szCs w:val="21"/>
          <w:highlight w:val="none"/>
          <w:lang w:eastAsia="zh-CN"/>
        </w:rPr>
      </w:pPr>
      <w:r>
        <w:rPr>
          <w:rFonts w:hint="eastAsia" w:ascii="Times New Roman" w:hAnsi="Times New Roman"/>
          <w:color w:val="000000"/>
          <w:sz w:val="21"/>
          <w:szCs w:val="21"/>
          <w:highlight w:val="none"/>
          <w:lang w:eastAsia="zh-CN"/>
        </w:rPr>
        <w:t>注：“——”指不需要考虑。</w:t>
      </w:r>
    </w:p>
    <w:p>
      <w:pPr>
        <w:pStyle w:val="40"/>
        <w:rPr>
          <w:rFonts w:ascii="Times New Roman" w:hAnsi="Times New Roman"/>
          <w:color w:val="000000"/>
          <w:sz w:val="21"/>
          <w:szCs w:val="21"/>
        </w:rPr>
      </w:pPr>
      <w:r>
        <w:rPr>
          <w:rFonts w:ascii="Times New Roman" w:hAnsi="Times New Roman"/>
          <w:b/>
          <w:bCs/>
          <w:color w:val="000000"/>
          <w:sz w:val="21"/>
          <w:szCs w:val="21"/>
        </w:rPr>
        <w:t>4.3.4</w:t>
      </w:r>
      <w:r>
        <w:rPr>
          <w:rFonts w:ascii="Times New Roman" w:hAnsi="Times New Roman"/>
          <w:color w:val="000000"/>
          <w:sz w:val="21"/>
          <w:szCs w:val="21"/>
        </w:rPr>
        <w:t xml:space="preserve"> </w:t>
      </w:r>
      <w:r>
        <w:rPr>
          <w:rFonts w:hint="eastAsia" w:ascii="Times New Roman" w:hAnsi="Times New Roman"/>
          <w:color w:val="000000"/>
          <w:sz w:val="21"/>
          <w:szCs w:val="21"/>
          <w:lang w:val="en-US" w:eastAsia="zh-CN"/>
        </w:rPr>
        <w:t xml:space="preserve"> </w:t>
      </w:r>
      <w:r>
        <w:rPr>
          <w:rFonts w:hint="eastAsia" w:ascii="Times New Roman" w:hAnsi="Times New Roman"/>
          <w:color w:val="000000"/>
          <w:sz w:val="21"/>
          <w:szCs w:val="21"/>
        </w:rPr>
        <w:t>存在有毒化学品的施工现场附近应设置盥洗设备，宜配备个人专用更衣箱；使用高毒物品的工作场所应设置淋浴间，其工作服、工作鞋帽必须存放在高毒作业区域内；接触经皮肤吸收及局部作用危险性大的毒物，应在工作岗位附近设置应急洗眼器和沐浴器。</w:t>
      </w:r>
      <w:r>
        <w:rPr>
          <w:rFonts w:ascii="Times New Roman" w:hAnsi="Times New Roman"/>
          <w:color w:val="000000"/>
          <w:sz w:val="21"/>
          <w:szCs w:val="21"/>
        </w:rPr>
        <w:t> </w:t>
      </w:r>
    </w:p>
    <w:p>
      <w:pPr>
        <w:pStyle w:val="40"/>
        <w:rPr>
          <w:rFonts w:ascii="Times New Roman" w:hAnsi="Times New Roman"/>
          <w:color w:val="000000"/>
          <w:sz w:val="21"/>
          <w:szCs w:val="21"/>
        </w:rPr>
      </w:pPr>
      <w:r>
        <w:rPr>
          <w:rFonts w:ascii="Times New Roman" w:hAnsi="Times New Roman"/>
          <w:b/>
          <w:bCs/>
          <w:color w:val="000000"/>
          <w:sz w:val="21"/>
          <w:szCs w:val="21"/>
        </w:rPr>
        <w:t>4.3.5</w:t>
      </w:r>
      <w:r>
        <w:rPr>
          <w:rFonts w:hint="eastAsia" w:ascii="Times New Roman" w:hAnsi="Times New Roman"/>
          <w:color w:val="000000"/>
          <w:sz w:val="21"/>
          <w:szCs w:val="21"/>
        </w:rPr>
        <w:t xml:space="preserve"> </w:t>
      </w:r>
      <w:r>
        <w:rPr>
          <w:rFonts w:hint="eastAsia" w:ascii="Times New Roman" w:hAnsi="Times New Roman"/>
          <w:color w:val="000000"/>
          <w:sz w:val="21"/>
          <w:szCs w:val="21"/>
          <w:lang w:val="en-US" w:eastAsia="zh-CN"/>
        </w:rPr>
        <w:t xml:space="preserve"> </w:t>
      </w:r>
      <w:r>
        <w:rPr>
          <w:rFonts w:hint="eastAsia" w:ascii="Times New Roman" w:hAnsi="Times New Roman"/>
          <w:color w:val="000000"/>
          <w:sz w:val="21"/>
          <w:szCs w:val="21"/>
        </w:rPr>
        <w:t>使用有毒化学品时，劳动者应正确使用施工工具，在作业点的上风向施工。分装和配制油漆、防腐、防水材料等挥发性有毒材料时，尽可能采用露天作业，并注意现场通风。工作完毕后，有机溶剂、涂料容器应及时加盖封严，防止有机溶剂的挥发。使用过的有机溶剂和其他化学品应进行回收处理，防止乱丢乱弃。</w:t>
      </w:r>
    </w:p>
    <w:p>
      <w:pPr>
        <w:pStyle w:val="40"/>
        <w:rPr>
          <w:rFonts w:ascii="Times New Roman" w:hAnsi="Times New Roman"/>
          <w:color w:val="000000"/>
          <w:sz w:val="21"/>
          <w:szCs w:val="21"/>
        </w:rPr>
      </w:pPr>
      <w:r>
        <w:rPr>
          <w:rFonts w:ascii="Times New Roman" w:hAnsi="Times New Roman"/>
          <w:b/>
          <w:bCs/>
          <w:color w:val="000000"/>
          <w:sz w:val="21"/>
          <w:szCs w:val="21"/>
        </w:rPr>
        <w:t>4.3.6</w:t>
      </w:r>
      <w:r>
        <w:rPr>
          <w:rFonts w:hint="eastAsia" w:ascii="Times New Roman" w:hAnsi="Times New Roman"/>
          <w:color w:val="000000"/>
          <w:sz w:val="21"/>
          <w:szCs w:val="21"/>
        </w:rPr>
        <w:t xml:space="preserve"> </w:t>
      </w:r>
      <w:r>
        <w:rPr>
          <w:rFonts w:hint="eastAsia" w:ascii="Times New Roman" w:hAnsi="Times New Roman"/>
          <w:color w:val="000000"/>
          <w:sz w:val="21"/>
          <w:szCs w:val="21"/>
          <w:lang w:val="en-US" w:eastAsia="zh-CN"/>
        </w:rPr>
        <w:t xml:space="preserve"> </w:t>
      </w:r>
      <w:r>
        <w:rPr>
          <w:rFonts w:hint="eastAsia" w:ascii="Times New Roman" w:hAnsi="Times New Roman"/>
          <w:color w:val="000000"/>
          <w:sz w:val="21"/>
          <w:szCs w:val="21"/>
        </w:rPr>
        <w:t>使用有毒物品的施工场所应设置黄色区域警示线、警示标识和中文警示说明。警示说明应载明产生职业中毒危害的种类、后果、预防以及应急救援措施等内容。使用高毒物品的施工场所应当设置红色区域警示线、警示标识和中文警示说明，并设置通讯报警设备，设置应急撤离通道和必要的泄险区。</w:t>
      </w:r>
    </w:p>
    <w:p>
      <w:pPr>
        <w:pStyle w:val="40"/>
        <w:rPr>
          <w:rFonts w:ascii="Times New Roman" w:hAnsi="Times New Roman"/>
          <w:color w:val="000000"/>
          <w:sz w:val="21"/>
          <w:szCs w:val="21"/>
        </w:rPr>
      </w:pPr>
      <w:r>
        <w:rPr>
          <w:rFonts w:ascii="Times New Roman" w:hAnsi="Times New Roman"/>
          <w:b/>
          <w:bCs/>
          <w:color w:val="000000"/>
          <w:sz w:val="21"/>
          <w:szCs w:val="21"/>
        </w:rPr>
        <w:t>4.3.</w:t>
      </w:r>
      <w:r>
        <w:rPr>
          <w:rFonts w:hint="eastAsia" w:ascii="Times New Roman" w:hAnsi="Times New Roman"/>
          <w:b/>
          <w:bCs/>
          <w:color w:val="000000"/>
          <w:sz w:val="21"/>
          <w:szCs w:val="21"/>
        </w:rPr>
        <w:t>7</w:t>
      </w:r>
      <w:r>
        <w:rPr>
          <w:rFonts w:ascii="Times New Roman" w:hAnsi="Times New Roman"/>
          <w:color w:val="000000"/>
          <w:sz w:val="21"/>
          <w:szCs w:val="21"/>
        </w:rPr>
        <w:t xml:space="preserve"> </w:t>
      </w:r>
      <w:r>
        <w:rPr>
          <w:rFonts w:hint="eastAsia" w:ascii="Times New Roman" w:hAnsi="Times New Roman"/>
          <w:color w:val="000000"/>
          <w:sz w:val="21"/>
          <w:szCs w:val="21"/>
          <w:lang w:val="en-US" w:eastAsia="zh-CN"/>
        </w:rPr>
        <w:t xml:space="preserve"> </w:t>
      </w:r>
      <w:r>
        <w:rPr>
          <w:rFonts w:hint="eastAsia" w:ascii="Times New Roman" w:hAnsi="Times New Roman"/>
          <w:color w:val="000000"/>
          <w:sz w:val="21"/>
          <w:szCs w:val="21"/>
        </w:rPr>
        <w:t>接触挥发性有毒化学品的劳动者，应当配备有效的防毒口罩（或防毒面具）；接触经皮肤吸收或刺激性、腐蚀性的化学品，应配备有效的防护服、防护手套和防护眼镜。</w:t>
      </w:r>
    </w:p>
    <w:p>
      <w:pPr>
        <w:pStyle w:val="40"/>
        <w:rPr>
          <w:rFonts w:ascii="Times New Roman" w:hAnsi="Times New Roman"/>
          <w:color w:val="000000"/>
          <w:sz w:val="21"/>
          <w:szCs w:val="21"/>
        </w:rPr>
      </w:pPr>
      <w:r>
        <w:rPr>
          <w:rFonts w:ascii="Times New Roman" w:hAnsi="Times New Roman"/>
          <w:b/>
          <w:bCs/>
          <w:color w:val="000000"/>
          <w:sz w:val="21"/>
          <w:szCs w:val="21"/>
        </w:rPr>
        <w:t>4.3.</w:t>
      </w:r>
      <w:r>
        <w:rPr>
          <w:rFonts w:hint="eastAsia" w:ascii="Times New Roman" w:hAnsi="Times New Roman"/>
          <w:b/>
          <w:bCs/>
          <w:color w:val="000000"/>
          <w:sz w:val="21"/>
          <w:szCs w:val="21"/>
        </w:rPr>
        <w:t>8</w:t>
      </w:r>
      <w:r>
        <w:rPr>
          <w:rFonts w:ascii="Times New Roman" w:hAnsi="Times New Roman"/>
          <w:color w:val="000000"/>
          <w:sz w:val="21"/>
          <w:szCs w:val="21"/>
        </w:rPr>
        <w:t xml:space="preserve"> </w:t>
      </w:r>
      <w:r>
        <w:rPr>
          <w:rFonts w:hint="eastAsia" w:ascii="Times New Roman" w:hAnsi="Times New Roman"/>
          <w:color w:val="000000"/>
          <w:sz w:val="21"/>
          <w:szCs w:val="21"/>
          <w:lang w:val="en-US" w:eastAsia="zh-CN"/>
        </w:rPr>
        <w:t xml:space="preserve"> </w:t>
      </w:r>
      <w:r>
        <w:rPr>
          <w:rFonts w:hint="eastAsia" w:ascii="Times New Roman" w:hAnsi="Times New Roman"/>
          <w:color w:val="000000"/>
          <w:sz w:val="21"/>
          <w:szCs w:val="21"/>
        </w:rPr>
        <w:t>拆除生产、使用防虫、防蛀、防腐、防潮等化学物（如有机氯</w:t>
      </w:r>
      <w:r>
        <w:rPr>
          <w:rFonts w:ascii="Times New Roman" w:hAnsi="Times New Roman"/>
          <w:color w:val="000000"/>
          <w:sz w:val="21"/>
          <w:szCs w:val="21"/>
        </w:rPr>
        <w:t>666</w:t>
      </w:r>
      <w:r>
        <w:rPr>
          <w:rFonts w:hint="eastAsia" w:ascii="Times New Roman" w:hAnsi="Times New Roman"/>
          <w:color w:val="000000"/>
          <w:sz w:val="21"/>
          <w:szCs w:val="21"/>
        </w:rPr>
        <w:t>、汞等）的旧建筑物时，应采取有效的个人防护措施。</w:t>
      </w:r>
      <w:r>
        <w:rPr>
          <w:rFonts w:ascii="Times New Roman" w:hAnsi="Times New Roman"/>
          <w:color w:val="000000"/>
          <w:sz w:val="21"/>
          <w:szCs w:val="21"/>
        </w:rPr>
        <w:t> </w:t>
      </w:r>
    </w:p>
    <w:p>
      <w:pPr>
        <w:pStyle w:val="40"/>
        <w:rPr>
          <w:rFonts w:ascii="Times New Roman" w:hAnsi="Times New Roman"/>
          <w:color w:val="000000"/>
          <w:sz w:val="21"/>
          <w:szCs w:val="21"/>
        </w:rPr>
      </w:pPr>
      <w:r>
        <w:rPr>
          <w:rFonts w:ascii="Times New Roman" w:hAnsi="Times New Roman"/>
          <w:b/>
          <w:bCs/>
          <w:color w:val="000000"/>
          <w:sz w:val="21"/>
          <w:szCs w:val="21"/>
        </w:rPr>
        <w:t>4.3.</w:t>
      </w:r>
      <w:r>
        <w:rPr>
          <w:rFonts w:hint="eastAsia" w:ascii="Times New Roman" w:hAnsi="Times New Roman"/>
          <w:b/>
          <w:bCs/>
          <w:color w:val="000000"/>
          <w:sz w:val="21"/>
          <w:szCs w:val="21"/>
        </w:rPr>
        <w:t>9</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应对接触有毒化学品的劳动者进行职业卫生培训，使劳动者了解所接触化学品的毒性、危害后果，以及防护措施。从事高毒物品作业的劳动者应当经培训考核合格后，方可上岗作业。</w:t>
      </w:r>
      <w:r>
        <w:rPr>
          <w:rFonts w:ascii="Times New Roman" w:hAnsi="Times New Roman"/>
          <w:color w:val="000000"/>
          <w:sz w:val="21"/>
          <w:szCs w:val="21"/>
        </w:rPr>
        <w:t> </w:t>
      </w:r>
    </w:p>
    <w:p>
      <w:pPr>
        <w:pStyle w:val="40"/>
        <w:rPr>
          <w:rFonts w:ascii="Times New Roman" w:hAnsi="Times New Roman"/>
          <w:color w:val="000000"/>
          <w:sz w:val="21"/>
          <w:szCs w:val="21"/>
        </w:rPr>
      </w:pPr>
      <w:r>
        <w:rPr>
          <w:rFonts w:ascii="Times New Roman" w:hAnsi="Times New Roman"/>
          <w:b/>
          <w:bCs/>
          <w:color w:val="000000"/>
          <w:sz w:val="21"/>
          <w:szCs w:val="21"/>
        </w:rPr>
        <w:t>4.3.</w:t>
      </w:r>
      <w:r>
        <w:rPr>
          <w:rFonts w:hint="eastAsia" w:ascii="Times New Roman" w:hAnsi="Times New Roman"/>
          <w:b/>
          <w:bCs/>
          <w:color w:val="000000"/>
          <w:sz w:val="21"/>
          <w:szCs w:val="21"/>
        </w:rPr>
        <w:t>10</w:t>
      </w:r>
      <w:r>
        <w:rPr>
          <w:rFonts w:hint="eastAsia" w:ascii="Times New Roman" w:hAnsi="Times New Roman"/>
          <w:color w:val="000000"/>
          <w:sz w:val="21"/>
          <w:szCs w:val="21"/>
        </w:rPr>
        <w:t xml:space="preserve"> </w:t>
      </w:r>
      <w:r>
        <w:rPr>
          <w:rFonts w:hint="eastAsia" w:ascii="Times New Roman" w:hAnsi="Times New Roman"/>
          <w:color w:val="000000"/>
          <w:sz w:val="21"/>
          <w:szCs w:val="21"/>
          <w:lang w:val="en-US" w:eastAsia="zh-CN"/>
        </w:rPr>
        <w:t xml:space="preserve"> </w:t>
      </w:r>
      <w:r>
        <w:rPr>
          <w:rFonts w:hint="eastAsia" w:ascii="Times New Roman" w:hAnsi="Times New Roman"/>
          <w:color w:val="000000"/>
          <w:sz w:val="21"/>
          <w:szCs w:val="21"/>
        </w:rPr>
        <w:t>劳动者应严格遵守职业卫生管理制度和安全生产操作规程，严禁在有毒有害施工场所进食和吸烟，饭前班后应及时洗手和更换衣服。</w:t>
      </w:r>
    </w:p>
    <w:p>
      <w:pPr>
        <w:pStyle w:val="40"/>
        <w:rPr>
          <w:rFonts w:ascii="Times New Roman" w:hAnsi="Times New Roman"/>
          <w:b/>
          <w:bCs/>
          <w:color w:val="000000"/>
          <w:sz w:val="21"/>
          <w:szCs w:val="21"/>
        </w:rPr>
      </w:pPr>
      <w:r>
        <w:rPr>
          <w:rFonts w:ascii="Times New Roman" w:hAnsi="Times New Roman"/>
          <w:b/>
          <w:bCs/>
          <w:color w:val="000000"/>
          <w:sz w:val="21"/>
          <w:szCs w:val="21"/>
        </w:rPr>
        <w:t>4.3.1</w:t>
      </w:r>
      <w:r>
        <w:rPr>
          <w:rFonts w:hint="eastAsia" w:ascii="Times New Roman" w:hAnsi="Times New Roman"/>
          <w:b/>
          <w:bCs/>
          <w:color w:val="000000"/>
          <w:sz w:val="21"/>
          <w:szCs w:val="21"/>
        </w:rPr>
        <w:t>1</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 xml:space="preserve"> 不得安排未成年工和孕期、哺乳期的女职工从事接触有毒化学品的作业。</w:t>
      </w:r>
    </w:p>
    <w:p>
      <w:pPr>
        <w:spacing w:line="360" w:lineRule="auto"/>
        <w:rPr>
          <w:color w:val="000000"/>
          <w:szCs w:val="21"/>
        </w:rPr>
      </w:pPr>
      <w:bookmarkStart w:id="51" w:name="_Toc94050271"/>
      <w:bookmarkStart w:id="52" w:name="_Toc101823018"/>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依据《GBZ1》《建筑施工企业职业病危害防治技术规范》AQ/T4256和《建筑行业职业病危害预防控制规范》GBZ/T 211等技术标准，</w:t>
      </w:r>
      <w:r>
        <w:rPr>
          <w:rFonts w:hint="eastAsia" w:cs="Times New Roman" w:asciiTheme="minorEastAsia" w:hAnsiTheme="minorEastAsia"/>
          <w:bCs/>
          <w:i/>
          <w:iCs/>
          <w:szCs w:val="21"/>
          <w:u w:val="single"/>
          <w:lang w:eastAsia="zh-CN"/>
        </w:rPr>
        <w:t>对在工艺不能避免使用或产生毒物的情况下，应采取局部通风、净化、劳动者新风量等工程防护措施，以及劳动者作业位置、个人防护用品、培训、特殊人群等管理措施。</w:t>
      </w:r>
      <w:r>
        <w:rPr>
          <w:rFonts w:hint="eastAsia" w:eastAsia="楷体"/>
          <w:bCs/>
          <w:szCs w:val="21"/>
          <w:lang w:bidi="ar"/>
        </w:rPr>
        <w:t xml:space="preserve"> </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4.4 噪声防护</w:t>
      </w:r>
      <w:bookmarkEnd w:id="51"/>
      <w:bookmarkEnd w:id="52"/>
    </w:p>
    <w:p>
      <w:pPr>
        <w:pStyle w:val="40"/>
        <w:rPr>
          <w:rFonts w:ascii="Times New Roman" w:hAnsi="Times New Roman"/>
          <w:color w:val="000000"/>
          <w:sz w:val="21"/>
          <w:szCs w:val="21"/>
        </w:rPr>
      </w:pPr>
      <w:r>
        <w:rPr>
          <w:rFonts w:ascii="Times New Roman" w:hAnsi="Times New Roman"/>
          <w:b/>
          <w:bCs/>
          <w:color w:val="000000"/>
          <w:sz w:val="21"/>
          <w:szCs w:val="21"/>
        </w:rPr>
        <w:t>4.4.1</w:t>
      </w:r>
      <w:r>
        <w:rPr>
          <w:rFonts w:hint="eastAsia" w:ascii="Times New Roman" w:hAnsi="Times New Roman"/>
          <w:b/>
          <w:bCs/>
          <w:color w:val="000000"/>
          <w:sz w:val="21"/>
          <w:szCs w:val="21"/>
          <w:lang w:val="en-US" w:eastAsia="zh-CN"/>
        </w:rPr>
        <w:t xml:space="preserve"> </w:t>
      </w:r>
      <w:r>
        <w:rPr>
          <w:rFonts w:ascii="Times New Roman" w:hAnsi="Times New Roman"/>
          <w:color w:val="000000"/>
          <w:sz w:val="21"/>
          <w:szCs w:val="21"/>
        </w:rPr>
        <w:t xml:space="preserve"> </w:t>
      </w:r>
      <w:r>
        <w:rPr>
          <w:rFonts w:hint="eastAsia" w:ascii="Times New Roman" w:hAnsi="Times New Roman"/>
          <w:color w:val="000000"/>
          <w:sz w:val="21"/>
          <w:szCs w:val="21"/>
        </w:rPr>
        <w:t>尽量选用低噪声施工设备和施工工艺代替高噪声施工设备和施工工艺。如使用低噪声的混凝土振动棒、风机、电动空压机、电锯等；以液压代替锻压，焊接代替铆接；以液压和电气钻代替风钻和手提钻；物料运输中避免大落差和直接冲击。</w:t>
      </w:r>
    </w:p>
    <w:p>
      <w:pPr>
        <w:pStyle w:val="40"/>
        <w:rPr>
          <w:rFonts w:ascii="Times New Roman" w:hAnsi="Times New Roman"/>
          <w:color w:val="000000"/>
          <w:sz w:val="21"/>
          <w:szCs w:val="21"/>
        </w:rPr>
      </w:pPr>
      <w:r>
        <w:rPr>
          <w:rFonts w:ascii="Times New Roman" w:hAnsi="Times New Roman"/>
          <w:b/>
          <w:bCs/>
          <w:color w:val="000000"/>
          <w:sz w:val="21"/>
          <w:szCs w:val="21"/>
        </w:rPr>
        <w:t>4.4.2</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对高噪声施工设备</w:t>
      </w:r>
      <w:r>
        <w:rPr>
          <w:rFonts w:hint="eastAsia" w:ascii="Times New Roman" w:hAnsi="Times New Roman"/>
          <w:b w:val="0"/>
          <w:bCs w:val="0"/>
          <w:color w:val="000000"/>
          <w:sz w:val="21"/>
          <w:szCs w:val="21"/>
          <w:lang w:val="en-US" w:eastAsia="zh-CN"/>
        </w:rPr>
        <w:t>应</w:t>
      </w:r>
      <w:r>
        <w:rPr>
          <w:rFonts w:hint="eastAsia" w:ascii="Times New Roman" w:hAnsi="Times New Roman"/>
          <w:color w:val="000000"/>
          <w:sz w:val="21"/>
          <w:szCs w:val="21"/>
        </w:rPr>
        <w:t>采取隔声、消声、隔振降噪等措施，尽量将噪声源与劳动者隔开。如气动机械、混凝土破碎机安装消声器；施工设备的排风系统（如压缩空气排放管、内燃发动机废气排放管）安装消声器；机械运行时应关闭机盖（罩），相对固定的高噪声设施（如混凝土搅拌站）设置隔声控制室。</w:t>
      </w:r>
    </w:p>
    <w:p>
      <w:pPr>
        <w:pStyle w:val="40"/>
        <w:rPr>
          <w:rFonts w:ascii="Times New Roman" w:hAnsi="Times New Roman"/>
          <w:color w:val="000000"/>
          <w:sz w:val="21"/>
          <w:szCs w:val="21"/>
        </w:rPr>
      </w:pPr>
      <w:r>
        <w:rPr>
          <w:rFonts w:ascii="Times New Roman" w:hAnsi="Times New Roman"/>
          <w:b/>
          <w:bCs/>
          <w:color w:val="000000"/>
          <w:sz w:val="21"/>
          <w:szCs w:val="21"/>
        </w:rPr>
        <w:t xml:space="preserve">4.4.3 </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尽可能减少高噪声设备作业点的密度。</w:t>
      </w:r>
    </w:p>
    <w:p>
      <w:pPr>
        <w:pStyle w:val="40"/>
        <w:rPr>
          <w:rFonts w:ascii="Times New Roman" w:hAnsi="Times New Roman"/>
          <w:color w:val="000000"/>
          <w:sz w:val="21"/>
          <w:szCs w:val="21"/>
        </w:rPr>
      </w:pPr>
      <w:r>
        <w:rPr>
          <w:rFonts w:ascii="Times New Roman" w:hAnsi="Times New Roman"/>
          <w:b/>
          <w:bCs/>
          <w:color w:val="000000"/>
          <w:sz w:val="21"/>
          <w:szCs w:val="21"/>
        </w:rPr>
        <w:t>4.4.4</w:t>
      </w:r>
      <w:r>
        <w:rPr>
          <w:rFonts w:hint="eastAsia" w:ascii="Times New Roman" w:hAnsi="Times New Roman"/>
          <w:b/>
          <w:bCs/>
          <w:color w:val="000000"/>
          <w:sz w:val="21"/>
          <w:szCs w:val="21"/>
          <w:lang w:val="en-US" w:eastAsia="zh-CN"/>
        </w:rPr>
        <w:t xml:space="preserve"> </w:t>
      </w:r>
      <w:r>
        <w:rPr>
          <w:rFonts w:ascii="Times New Roman" w:hAnsi="Times New Roman"/>
          <w:b/>
          <w:bCs/>
          <w:color w:val="000000"/>
          <w:sz w:val="21"/>
          <w:szCs w:val="21"/>
        </w:rPr>
        <w:t xml:space="preserve"> </w:t>
      </w:r>
      <w:r>
        <w:rPr>
          <w:rFonts w:hint="eastAsia" w:ascii="Times New Roman" w:hAnsi="Times New Roman"/>
          <w:color w:val="000000"/>
          <w:sz w:val="21"/>
          <w:szCs w:val="21"/>
        </w:rPr>
        <w:t>噪声超过85 dB(A)的施工场所，应为劳动者配备护耳器，减少噪声作业时间，实施听力保护计划。</w:t>
      </w:r>
    </w:p>
    <w:p>
      <w:pPr>
        <w:spacing w:line="360" w:lineRule="auto"/>
        <w:rPr>
          <w:color w:val="000000"/>
          <w:szCs w:val="21"/>
        </w:rPr>
      </w:pPr>
      <w:bookmarkStart w:id="53" w:name="_Toc94050272"/>
      <w:bookmarkStart w:id="54" w:name="_Toc101823019"/>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依据《GBZ1》《建筑施工企业职业病危害防治技术规范》AQ/T4256和《建筑行业职业病危害预防控制规范》GBZ/T 211等技术标准，</w:t>
      </w:r>
      <w:r>
        <w:rPr>
          <w:rFonts w:hint="eastAsia" w:cs="Times New Roman" w:asciiTheme="minorEastAsia" w:hAnsiTheme="minorEastAsia"/>
          <w:bCs/>
          <w:i/>
          <w:iCs/>
          <w:szCs w:val="21"/>
          <w:u w:val="single"/>
          <w:lang w:eastAsia="zh-CN"/>
        </w:rPr>
        <w:t>优先选择低噪声、振动的设备和工艺，对高噪声施工设备应采取隔声、消声、隔振降噪等措施，同时，也明确了噪声作业点设置密度及个人防护用品等管理措施。</w:t>
      </w:r>
      <w:r>
        <w:rPr>
          <w:rFonts w:hint="eastAsia" w:eastAsia="楷体"/>
          <w:bCs/>
          <w:szCs w:val="21"/>
          <w:lang w:bidi="ar"/>
        </w:rPr>
        <w:t xml:space="preserve"> </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4.5 高温防护</w:t>
      </w:r>
      <w:bookmarkEnd w:id="53"/>
      <w:bookmarkEnd w:id="54"/>
    </w:p>
    <w:p>
      <w:pPr>
        <w:pStyle w:val="40"/>
        <w:rPr>
          <w:rFonts w:ascii="Times New Roman" w:hAnsi="Times New Roman"/>
          <w:color w:val="000000"/>
          <w:sz w:val="21"/>
          <w:szCs w:val="21"/>
        </w:rPr>
      </w:pPr>
      <w:r>
        <w:rPr>
          <w:rFonts w:ascii="Times New Roman" w:hAnsi="Times New Roman"/>
          <w:b/>
          <w:bCs/>
          <w:color w:val="000000"/>
          <w:sz w:val="21"/>
          <w:szCs w:val="21"/>
        </w:rPr>
        <w:t>4.5.1</w:t>
      </w:r>
      <w:r>
        <w:rPr>
          <w:rFonts w:ascii="Times New Roman" w:hAnsi="Times New Roman"/>
          <w:color w:val="000000"/>
          <w:sz w:val="21"/>
          <w:szCs w:val="21"/>
        </w:rPr>
        <w:t xml:space="preserve"> </w:t>
      </w:r>
      <w:r>
        <w:rPr>
          <w:rFonts w:hint="eastAsia" w:ascii="Times New Roman" w:hAnsi="Times New Roman"/>
          <w:color w:val="000000"/>
          <w:sz w:val="21"/>
          <w:szCs w:val="21"/>
          <w:lang w:val="en-US" w:eastAsia="zh-CN"/>
        </w:rPr>
        <w:t xml:space="preserve"> </w:t>
      </w:r>
      <w:r>
        <w:rPr>
          <w:rFonts w:hint="eastAsia" w:ascii="Times New Roman" w:hAnsi="Times New Roman"/>
          <w:color w:val="000000"/>
          <w:sz w:val="21"/>
          <w:szCs w:val="21"/>
        </w:rPr>
        <w:t>各种机械和运输车辆的操作室和驾驶室应设置空调。</w:t>
      </w:r>
    </w:p>
    <w:p>
      <w:pPr>
        <w:pStyle w:val="40"/>
        <w:rPr>
          <w:rFonts w:ascii="Times New Roman" w:hAnsi="Times New Roman"/>
          <w:color w:val="000000"/>
          <w:sz w:val="21"/>
          <w:szCs w:val="21"/>
        </w:rPr>
      </w:pPr>
      <w:r>
        <w:rPr>
          <w:rFonts w:ascii="Times New Roman" w:hAnsi="Times New Roman"/>
          <w:b/>
          <w:bCs/>
          <w:color w:val="000000"/>
          <w:sz w:val="21"/>
          <w:szCs w:val="21"/>
        </w:rPr>
        <w:t>4.5.2</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在施工现场附近设置工间休息室和浴室，休息室内设置空调或风扇。</w:t>
      </w:r>
    </w:p>
    <w:p>
      <w:pPr>
        <w:pStyle w:val="40"/>
        <w:rPr>
          <w:rFonts w:ascii="Times New Roman" w:hAnsi="Times New Roman"/>
          <w:color w:val="000000"/>
          <w:sz w:val="21"/>
          <w:szCs w:val="21"/>
        </w:rPr>
      </w:pPr>
      <w:r>
        <w:rPr>
          <w:rFonts w:ascii="Times New Roman" w:hAnsi="Times New Roman"/>
          <w:b/>
          <w:bCs/>
          <w:color w:val="000000"/>
          <w:sz w:val="21"/>
          <w:szCs w:val="21"/>
        </w:rPr>
        <w:t>4.5.3</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夏季高温季节为劳动者提供含盐清凉饮料（含盐量为0.1%~0.2%），饮料水温应低于15℃。</w:t>
      </w:r>
    </w:p>
    <w:p>
      <w:pPr>
        <w:pStyle w:val="40"/>
        <w:rPr>
          <w:rFonts w:ascii="Times New Roman" w:hAnsi="Times New Roman"/>
          <w:color w:val="000000"/>
          <w:sz w:val="21"/>
          <w:szCs w:val="21"/>
        </w:rPr>
      </w:pPr>
      <w:r>
        <w:rPr>
          <w:rFonts w:ascii="Times New Roman" w:hAnsi="Times New Roman"/>
          <w:b/>
          <w:bCs/>
          <w:color w:val="000000"/>
          <w:sz w:val="21"/>
          <w:szCs w:val="21"/>
        </w:rPr>
        <w:t>4.5.4</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夏季高温季节应合理调整作息时间，避开中午高温时间施工。严格控制劳动者加班，尽可能缩短工作时间，保证劳动者有充足的休息和睡眠时间。</w:t>
      </w:r>
    </w:p>
    <w:p>
      <w:pPr>
        <w:pStyle w:val="40"/>
        <w:rPr>
          <w:rFonts w:ascii="Times New Roman" w:hAnsi="Times New Roman"/>
          <w:color w:val="000000"/>
          <w:sz w:val="21"/>
          <w:szCs w:val="21"/>
        </w:rPr>
      </w:pPr>
      <w:r>
        <w:rPr>
          <w:rFonts w:ascii="Times New Roman" w:hAnsi="Times New Roman"/>
          <w:b/>
          <w:bCs/>
          <w:color w:val="000000"/>
          <w:sz w:val="21"/>
          <w:szCs w:val="21"/>
        </w:rPr>
        <w:t>4.5.5</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降低劳动者的劳动强度，采取轮流作业方式，增加工间休息次数和休息时间。如，试行小换班，增加工间休息次数，延长午休时间，尽量避开高温时段进行室外高温作业等。</w:t>
      </w:r>
    </w:p>
    <w:p>
      <w:pPr>
        <w:pStyle w:val="40"/>
        <w:rPr>
          <w:rFonts w:ascii="Times New Roman" w:hAnsi="Times New Roman"/>
          <w:color w:val="000000"/>
          <w:sz w:val="21"/>
          <w:szCs w:val="21"/>
        </w:rPr>
      </w:pPr>
      <w:r>
        <w:rPr>
          <w:rFonts w:ascii="Times New Roman" w:hAnsi="Times New Roman"/>
          <w:b/>
          <w:bCs/>
          <w:color w:val="000000"/>
          <w:sz w:val="21"/>
          <w:szCs w:val="21"/>
        </w:rPr>
        <w:t>4.5.6</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当气温达到或超过40℃时，连续数天（3天以上）一般情况应当停止露天施工作业。</w:t>
      </w:r>
    </w:p>
    <w:p>
      <w:pPr>
        <w:pStyle w:val="40"/>
        <w:rPr>
          <w:rFonts w:ascii="Times New Roman" w:hAnsi="Times New Roman"/>
          <w:color w:val="000000"/>
          <w:sz w:val="21"/>
          <w:szCs w:val="21"/>
        </w:rPr>
      </w:pPr>
      <w:r>
        <w:rPr>
          <w:rFonts w:ascii="Times New Roman" w:hAnsi="Times New Roman"/>
          <w:b/>
          <w:bCs/>
          <w:color w:val="000000"/>
          <w:sz w:val="21"/>
          <w:szCs w:val="21"/>
        </w:rPr>
        <w:t>4.5.7</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在罐、釜等容器内作业时，应采取措施，做好通风和降温工作。</w:t>
      </w:r>
    </w:p>
    <w:p>
      <w:pPr>
        <w:pStyle w:val="40"/>
        <w:rPr>
          <w:rFonts w:ascii="Times New Roman" w:hAnsi="Times New Roman"/>
          <w:color w:val="000000"/>
          <w:sz w:val="21"/>
          <w:szCs w:val="21"/>
        </w:rPr>
      </w:pPr>
      <w:r>
        <w:rPr>
          <w:rFonts w:ascii="Times New Roman" w:hAnsi="Times New Roman"/>
          <w:b/>
          <w:bCs/>
          <w:color w:val="000000"/>
          <w:sz w:val="21"/>
          <w:szCs w:val="21"/>
        </w:rPr>
        <w:t>4.5.8</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高温作业劳动者应在高温季节之前进行职业健康检查，发现有职业禁忌证者应及时调离高温作业岗位。</w:t>
      </w:r>
    </w:p>
    <w:p>
      <w:pPr>
        <w:pStyle w:val="40"/>
        <w:rPr>
          <w:rFonts w:ascii="Times New Roman" w:hAnsi="Times New Roman"/>
          <w:color w:val="000000"/>
          <w:sz w:val="21"/>
          <w:szCs w:val="21"/>
        </w:rPr>
      </w:pPr>
      <w:r>
        <w:rPr>
          <w:rFonts w:ascii="Times New Roman" w:hAnsi="Times New Roman"/>
          <w:b/>
          <w:bCs/>
          <w:color w:val="000000"/>
          <w:sz w:val="21"/>
          <w:szCs w:val="21"/>
        </w:rPr>
        <w:t>4.5.9</w:t>
      </w:r>
      <w:r>
        <w:rPr>
          <w:rFonts w:hint="eastAsia" w:ascii="Times New Roman" w:hAnsi="Times New Roman"/>
          <w:b/>
          <w:bCs/>
          <w:color w:val="000000"/>
          <w:sz w:val="21"/>
          <w:szCs w:val="21"/>
          <w:lang w:val="en-US" w:eastAsia="zh-CN"/>
        </w:rPr>
        <w:t xml:space="preserve">  </w:t>
      </w:r>
      <w:r>
        <w:rPr>
          <w:rFonts w:hint="eastAsia" w:ascii="Times New Roman" w:hAnsi="Times New Roman"/>
          <w:color w:val="000000"/>
          <w:sz w:val="21"/>
          <w:szCs w:val="21"/>
        </w:rPr>
        <w:t>在无法设置空调或风扇的作业区域内，可采取摆放冰块的方式作为降温措施，如隧道内。</w:t>
      </w:r>
    </w:p>
    <w:p>
      <w:pPr>
        <w:spacing w:line="360" w:lineRule="auto"/>
        <w:rPr>
          <w:color w:val="000000"/>
          <w:szCs w:val="21"/>
        </w:rPr>
      </w:pPr>
      <w:bookmarkStart w:id="55" w:name="_Toc94050273"/>
      <w:bookmarkStart w:id="56" w:name="_Toc101823020"/>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依据《GBZ1》《建筑施工企业职业病危害防治技术规范》AQ/T4256和《建筑行业职业病危害预防控制规范》GBZ/T 211等技术标准，</w:t>
      </w:r>
      <w:r>
        <w:rPr>
          <w:rFonts w:hint="eastAsia" w:cs="Times New Roman" w:asciiTheme="minorEastAsia" w:hAnsiTheme="minorEastAsia"/>
          <w:bCs/>
          <w:i/>
          <w:iCs/>
          <w:szCs w:val="21"/>
          <w:u w:val="single"/>
          <w:lang w:eastAsia="zh-CN"/>
        </w:rPr>
        <w:t>对高温作业应采取空调或风扇等降温措施，同时，也明确了具体的降温方式、降低劳动强度、调整作息制度等管理措施。</w:t>
      </w:r>
      <w:r>
        <w:rPr>
          <w:rFonts w:hint="eastAsia" w:eastAsia="楷体"/>
          <w:bCs/>
          <w:szCs w:val="21"/>
          <w:lang w:bidi="ar"/>
        </w:rPr>
        <w:t xml:space="preserve"> </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4.6 其他职业病危害防护</w:t>
      </w:r>
      <w:bookmarkEnd w:id="55"/>
      <w:bookmarkEnd w:id="56"/>
    </w:p>
    <w:p>
      <w:pPr>
        <w:pStyle w:val="40"/>
        <w:numPr>
          <w:ilvl w:val="0"/>
          <w:numId w:val="6"/>
        </w:numPr>
        <w:ind w:left="0" w:firstLine="0"/>
        <w:rPr>
          <w:rFonts w:ascii="Times New Roman" w:hAnsi="Times New Roman"/>
          <w:color w:val="000000"/>
          <w:sz w:val="21"/>
          <w:szCs w:val="21"/>
        </w:rPr>
      </w:pPr>
      <w:r>
        <w:rPr>
          <w:rFonts w:hint="eastAsia" w:ascii="Times New Roman" w:hAnsi="Times New Roman"/>
          <w:color w:val="000000"/>
          <w:sz w:val="21"/>
          <w:szCs w:val="21"/>
        </w:rPr>
        <w:t>尽可能避免使用手持风动工具；采用自动、半自动操作装置，减少手及肢体直接接触振动体；用液压、焊接、粘接等代替风动工具的铆接；采用化学法除锈代替除锈机除锈等。</w:t>
      </w:r>
    </w:p>
    <w:p>
      <w:pPr>
        <w:pStyle w:val="40"/>
        <w:numPr>
          <w:ilvl w:val="0"/>
          <w:numId w:val="6"/>
        </w:numPr>
        <w:ind w:left="0" w:firstLine="0"/>
        <w:rPr>
          <w:rFonts w:ascii="Times New Roman" w:hAnsi="Times New Roman"/>
          <w:color w:val="000000"/>
          <w:sz w:val="21"/>
          <w:szCs w:val="21"/>
        </w:rPr>
      </w:pPr>
      <w:r>
        <w:rPr>
          <w:rFonts w:hint="eastAsia" w:ascii="Times New Roman" w:hAnsi="Times New Roman"/>
          <w:color w:val="000000"/>
          <w:sz w:val="21"/>
          <w:szCs w:val="21"/>
        </w:rPr>
        <w:t>风动工具的金属部件可改用塑料或橡胶，或家用各种衬垫物，减少因撞击而产生的振动；寒冷作业时，提高工具把手的温度，改进压缩空气进出口方位，避免手受冷风吹袭。</w:t>
      </w:r>
      <w:r>
        <w:rPr>
          <w:rFonts w:ascii="Times New Roman" w:hAnsi="Times New Roman"/>
          <w:color w:val="000000"/>
          <w:sz w:val="21"/>
          <w:szCs w:val="21"/>
        </w:rPr>
        <w:t> </w:t>
      </w:r>
    </w:p>
    <w:p>
      <w:pPr>
        <w:pStyle w:val="40"/>
        <w:numPr>
          <w:ilvl w:val="0"/>
          <w:numId w:val="6"/>
        </w:numPr>
        <w:ind w:left="0" w:firstLine="0"/>
        <w:rPr>
          <w:rFonts w:ascii="Times New Roman" w:hAnsi="Times New Roman"/>
          <w:color w:val="000000"/>
          <w:sz w:val="21"/>
          <w:szCs w:val="21"/>
        </w:rPr>
      </w:pPr>
      <w:r>
        <w:rPr>
          <w:rFonts w:hint="eastAsia" w:ascii="Times New Roman" w:hAnsi="Times New Roman"/>
          <w:color w:val="000000"/>
          <w:sz w:val="21"/>
          <w:szCs w:val="21"/>
        </w:rPr>
        <w:t>手持振动工具（如风动凿岩机、混凝土破碎机、混凝土振动棒、风钻、喷砂机、电钻、钻孔机、铆钉机、铆打机等）应安装防振手柄，劳动者应戴防振手套。挖土机、推土机、刮土机、铺路机、压路机等驾驶室应设置减振设施。</w:t>
      </w:r>
      <w:r>
        <w:rPr>
          <w:rFonts w:ascii="Times New Roman" w:hAnsi="Times New Roman"/>
          <w:color w:val="000000"/>
          <w:sz w:val="21"/>
          <w:szCs w:val="21"/>
        </w:rPr>
        <w:t> </w:t>
      </w:r>
    </w:p>
    <w:p>
      <w:pPr>
        <w:pStyle w:val="40"/>
        <w:numPr>
          <w:ilvl w:val="0"/>
          <w:numId w:val="6"/>
        </w:numPr>
        <w:ind w:left="0" w:firstLine="0"/>
        <w:rPr>
          <w:rFonts w:ascii="Times New Roman" w:hAnsi="Times New Roman"/>
          <w:color w:val="000000"/>
          <w:sz w:val="21"/>
          <w:szCs w:val="21"/>
        </w:rPr>
      </w:pPr>
      <w:r>
        <w:rPr>
          <w:rFonts w:hint="eastAsia" w:ascii="Times New Roman" w:hAnsi="Times New Roman"/>
          <w:color w:val="000000"/>
          <w:sz w:val="21"/>
          <w:szCs w:val="21"/>
        </w:rPr>
        <w:t>尽可能减轻手持振动工具的重量，改善手持工具的作业体位，防止强迫体位，以减轻肌肉负荷和静力紧张，避免手臂上举姿势的振动作业。</w:t>
      </w:r>
      <w:r>
        <w:rPr>
          <w:rFonts w:ascii="Times New Roman" w:hAnsi="Times New Roman"/>
          <w:color w:val="000000"/>
          <w:sz w:val="21"/>
          <w:szCs w:val="21"/>
        </w:rPr>
        <w:t> </w:t>
      </w:r>
    </w:p>
    <w:p>
      <w:pPr>
        <w:pStyle w:val="40"/>
        <w:numPr>
          <w:ilvl w:val="0"/>
          <w:numId w:val="6"/>
        </w:numPr>
        <w:ind w:left="0" w:firstLine="0"/>
        <w:rPr>
          <w:rFonts w:ascii="Times New Roman" w:hAnsi="Times New Roman"/>
          <w:color w:val="000000"/>
          <w:sz w:val="21"/>
          <w:szCs w:val="21"/>
        </w:rPr>
      </w:pPr>
      <w:r>
        <w:rPr>
          <w:rFonts w:hint="eastAsia" w:ascii="Times New Roman" w:hAnsi="Times New Roman"/>
          <w:color w:val="000000"/>
          <w:sz w:val="21"/>
          <w:szCs w:val="21"/>
        </w:rPr>
        <w:t>可采取轮流作业方式，减少劳动者接触振动的时间，增加工间休息次数和休息时间。</w:t>
      </w:r>
    </w:p>
    <w:p>
      <w:pPr>
        <w:pStyle w:val="40"/>
        <w:numPr>
          <w:ilvl w:val="0"/>
          <w:numId w:val="6"/>
        </w:numPr>
        <w:ind w:left="0" w:firstLine="0"/>
        <w:rPr>
          <w:rFonts w:ascii="Times New Roman" w:hAnsi="Times New Roman"/>
          <w:color w:val="000000"/>
          <w:sz w:val="21"/>
          <w:szCs w:val="21"/>
        </w:rPr>
      </w:pPr>
      <w:r>
        <w:rPr>
          <w:rFonts w:hint="eastAsia" w:ascii="Times New Roman" w:hAnsi="Times New Roman"/>
          <w:color w:val="000000"/>
          <w:sz w:val="21"/>
          <w:szCs w:val="21"/>
        </w:rPr>
        <w:t xml:space="preserve">采用自动或半自动焊接设备，可加大劳动者与辐射源的距离。产生紫外线的施工现场应当使用不透明或半透明的挡板将该区域与其他施工区域分隔，禁止无关人员进入操作区域，避免紫外线对其他人员的影响。 </w:t>
      </w:r>
    </w:p>
    <w:p>
      <w:pPr>
        <w:pStyle w:val="40"/>
        <w:numPr>
          <w:ilvl w:val="0"/>
          <w:numId w:val="6"/>
        </w:numPr>
        <w:ind w:left="0" w:firstLine="0"/>
        <w:rPr>
          <w:rFonts w:ascii="Times New Roman" w:hAnsi="Times New Roman"/>
          <w:color w:val="000000"/>
          <w:sz w:val="21"/>
          <w:szCs w:val="21"/>
        </w:rPr>
      </w:pPr>
      <w:r>
        <w:rPr>
          <w:rFonts w:hint="eastAsia" w:ascii="Times New Roman" w:hAnsi="Times New Roman"/>
          <w:color w:val="000000"/>
          <w:sz w:val="21"/>
          <w:szCs w:val="21"/>
        </w:rPr>
        <w:t>电焊工必须佩戴专用的面罩、防护眼镜，以及有效的防护服和手套。高原作业时，使用玻璃或塑料护目镜、风镜，穿长裤长袖衣服。</w:t>
      </w:r>
    </w:p>
    <w:p>
      <w:pPr>
        <w:pStyle w:val="40"/>
        <w:numPr>
          <w:ilvl w:val="0"/>
          <w:numId w:val="6"/>
        </w:numPr>
        <w:ind w:left="0" w:firstLine="0"/>
        <w:rPr>
          <w:rFonts w:ascii="Times New Roman" w:hAnsi="Times New Roman"/>
          <w:color w:val="000000"/>
          <w:sz w:val="21"/>
          <w:szCs w:val="21"/>
        </w:rPr>
      </w:pPr>
      <w:r>
        <w:rPr>
          <w:rFonts w:hint="eastAsia" w:ascii="Times New Roman" w:hAnsi="Times New Roman"/>
          <w:color w:val="000000"/>
          <w:sz w:val="21"/>
          <w:szCs w:val="21"/>
        </w:rPr>
        <w:t xml:space="preserve">不选用放射性水平超过国家标准限值的建筑材料，尽可能避免使用存在放射源或射线装置的施工工艺。 </w:t>
      </w:r>
    </w:p>
    <w:p>
      <w:pPr>
        <w:pStyle w:val="40"/>
        <w:numPr>
          <w:ilvl w:val="0"/>
          <w:numId w:val="6"/>
        </w:numPr>
        <w:ind w:left="0" w:firstLine="0"/>
        <w:rPr>
          <w:rFonts w:ascii="Times New Roman" w:hAnsi="Times New Roman"/>
          <w:color w:val="000000"/>
          <w:sz w:val="21"/>
          <w:szCs w:val="21"/>
        </w:rPr>
      </w:pPr>
      <w:r>
        <w:rPr>
          <w:rFonts w:hint="eastAsia" w:ascii="Times New Roman" w:hAnsi="Times New Roman"/>
          <w:color w:val="000000"/>
          <w:sz w:val="21"/>
          <w:szCs w:val="21"/>
        </w:rPr>
        <w:t xml:space="preserve">合理设置电离辐射施工场所，并尽可能安排在固定的房间或围墙内；综合采取时间防护、距离防护、位置防护和屏蔽防护等措施，使受照射的人数和受 照射的可能性均保持在可合理达到的尽量低水平。 </w:t>
      </w:r>
    </w:p>
    <w:p>
      <w:pPr>
        <w:pStyle w:val="40"/>
        <w:numPr>
          <w:ilvl w:val="0"/>
          <w:numId w:val="6"/>
        </w:numPr>
        <w:ind w:left="0" w:firstLine="0"/>
        <w:rPr>
          <w:rFonts w:ascii="Times New Roman" w:hAnsi="Times New Roman"/>
          <w:color w:val="000000"/>
          <w:sz w:val="21"/>
          <w:szCs w:val="21"/>
        </w:rPr>
      </w:pPr>
      <w:r>
        <w:rPr>
          <w:rFonts w:hint="eastAsia" w:ascii="Times New Roman" w:hAnsi="Times New Roman"/>
          <w:color w:val="000000"/>
          <w:sz w:val="21"/>
          <w:szCs w:val="21"/>
        </w:rPr>
        <w:t>施工单位应按照《电离辐射防护与辐射源安全基本标准》 GB18871 的有关要求进行防护。将电离辐射施工场所应划分为控制区和监督区，进行分区管理。在控制区的出入口或边界上必须设置醒目的电离辐射警告标志，在监督区边界上应设置警戒绳、警灯、警铃和警告牌。必要时应设专人警戒。 进行野外电离辐射作业时，应建立作业票制度，并尽可能安排在夜间进行。</w:t>
      </w:r>
    </w:p>
    <w:p>
      <w:pPr>
        <w:pStyle w:val="40"/>
        <w:numPr>
          <w:ilvl w:val="0"/>
          <w:numId w:val="6"/>
        </w:numPr>
        <w:ind w:left="0" w:firstLine="0"/>
        <w:rPr>
          <w:rFonts w:ascii="Times New Roman" w:hAnsi="Times New Roman"/>
          <w:color w:val="000000"/>
          <w:sz w:val="21"/>
          <w:szCs w:val="21"/>
        </w:rPr>
      </w:pPr>
      <w:r>
        <w:rPr>
          <w:rFonts w:hint="eastAsia" w:ascii="Times New Roman" w:hAnsi="Times New Roman"/>
          <w:color w:val="000000"/>
          <w:sz w:val="21"/>
          <w:szCs w:val="21"/>
        </w:rPr>
        <w:t xml:space="preserve">进行电离辐射作业时，劳动者必须佩戴个人剂量计，并佩戴剂量报警仪。电离辐射作业的劳动者经过必要的专业知识和放射防护知识培训，考核合格后持证上岗。 </w:t>
      </w:r>
    </w:p>
    <w:p>
      <w:pPr>
        <w:pStyle w:val="40"/>
        <w:numPr>
          <w:ilvl w:val="0"/>
          <w:numId w:val="6"/>
        </w:numPr>
        <w:ind w:left="0" w:firstLine="0"/>
        <w:rPr>
          <w:rFonts w:ascii="Times New Roman" w:hAnsi="Times New Roman"/>
          <w:color w:val="000000"/>
          <w:sz w:val="21"/>
          <w:szCs w:val="21"/>
        </w:rPr>
      </w:pPr>
      <w:r>
        <w:rPr>
          <w:rFonts w:hint="eastAsia" w:ascii="Times New Roman" w:hAnsi="Times New Roman"/>
          <w:color w:val="000000"/>
          <w:sz w:val="21"/>
          <w:szCs w:val="21"/>
        </w:rPr>
        <w:t xml:space="preserve">施工企业应建立电离辐射防护责任制，建立严格的操作规程、安全防护措施和应急救援预案，采取自主管理、委托管理与监督管理相结合的综合管理措施。严格执行放射源的运输、保管、交接和保养维修制度，做好放射源或射线装置的使用情况登记工作。 </w:t>
      </w:r>
    </w:p>
    <w:p>
      <w:pPr>
        <w:pStyle w:val="40"/>
        <w:numPr>
          <w:ilvl w:val="0"/>
          <w:numId w:val="6"/>
        </w:numPr>
        <w:ind w:left="0" w:firstLine="0"/>
        <w:rPr>
          <w:rFonts w:ascii="Times New Roman" w:hAnsi="Times New Roman"/>
          <w:color w:val="000000"/>
          <w:sz w:val="21"/>
          <w:szCs w:val="21"/>
        </w:rPr>
      </w:pPr>
      <w:r>
        <w:rPr>
          <w:rFonts w:hint="eastAsia" w:ascii="Times New Roman" w:hAnsi="Times New Roman"/>
          <w:color w:val="000000"/>
          <w:sz w:val="21"/>
          <w:szCs w:val="21"/>
        </w:rPr>
        <w:t>隧道、地下工程施工场所存在氡及其子体危害或其他放射性物质危害，应加强通风和防止内照射的个人防护措施。</w:t>
      </w:r>
    </w:p>
    <w:p>
      <w:pPr>
        <w:pStyle w:val="40"/>
        <w:numPr>
          <w:ilvl w:val="0"/>
          <w:numId w:val="6"/>
        </w:numPr>
        <w:ind w:left="0" w:firstLine="0"/>
        <w:rPr>
          <w:rFonts w:ascii="Times New Roman" w:hAnsi="Times New Roman"/>
          <w:color w:val="000000"/>
          <w:sz w:val="21"/>
          <w:szCs w:val="21"/>
        </w:rPr>
      </w:pPr>
      <w:r>
        <w:rPr>
          <w:rFonts w:hint="eastAsia" w:ascii="Times New Roman" w:hAnsi="Times New Roman"/>
          <w:color w:val="000000"/>
          <w:sz w:val="21"/>
          <w:szCs w:val="21"/>
        </w:rPr>
        <w:t>施工场所的电离辐射水平应当符合国家有关职业卫生标准。当劳动者受照射水平可能达到或超过国家标准时，应当进行放射作业危害评价，安排合适的工作时间和选择有效的个人防护用品。</w:t>
      </w:r>
    </w:p>
    <w:p>
      <w:pPr>
        <w:pStyle w:val="40"/>
        <w:numPr>
          <w:ilvl w:val="0"/>
          <w:numId w:val="6"/>
        </w:numPr>
        <w:ind w:left="0" w:firstLine="0"/>
        <w:rPr>
          <w:rFonts w:ascii="Times New Roman" w:hAnsi="Times New Roman"/>
          <w:color w:val="000000"/>
          <w:sz w:val="21"/>
          <w:szCs w:val="21"/>
        </w:rPr>
      </w:pPr>
      <w:r>
        <w:rPr>
          <w:rFonts w:hint="eastAsia" w:ascii="Times New Roman" w:hAnsi="Times New Roman"/>
          <w:color w:val="000000"/>
          <w:sz w:val="21"/>
          <w:szCs w:val="21"/>
        </w:rPr>
        <w:t>电离辐射相关的从业人员不应长期从事相关工作，不应长期暴露在存在电离辐射的环境中，企业应采取定期轮换岗位、提前退休等措施保护劳动者。</w:t>
      </w:r>
    </w:p>
    <w:p>
      <w:pPr>
        <w:spacing w:line="360" w:lineRule="auto"/>
        <w:rPr>
          <w:rFonts w:hint="eastAsia" w:cs="Times New Roman" w:asciiTheme="minorEastAsia" w:hAnsiTheme="minorEastAsia"/>
          <w:bCs/>
          <w:i/>
          <w:iCs/>
          <w:szCs w:val="21"/>
          <w:u w:val="single"/>
        </w:rPr>
      </w:pP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本</w:t>
      </w:r>
      <w:r>
        <w:rPr>
          <w:rFonts w:hint="eastAsia" w:cs="Times New Roman" w:asciiTheme="minorEastAsia" w:hAnsiTheme="minorEastAsia"/>
          <w:bCs/>
          <w:i/>
          <w:iCs/>
          <w:szCs w:val="21"/>
          <w:u w:val="single"/>
          <w:lang w:eastAsia="zh-CN"/>
        </w:rPr>
        <w:t>节</w:t>
      </w:r>
      <w:r>
        <w:rPr>
          <w:rFonts w:hint="eastAsia" w:cs="Times New Roman" w:asciiTheme="minorEastAsia" w:hAnsiTheme="minorEastAsia"/>
          <w:bCs/>
          <w:i/>
          <w:iCs/>
          <w:szCs w:val="21"/>
          <w:u w:val="single"/>
        </w:rPr>
        <w:t>内容主要引自《建筑施工企业职业病危害防治技术规范》</w:t>
      </w:r>
      <w:r>
        <w:rPr>
          <w:rFonts w:cs="Times New Roman" w:asciiTheme="minorEastAsia" w:hAnsiTheme="minorEastAsia"/>
          <w:bCs/>
          <w:i/>
          <w:iCs/>
          <w:szCs w:val="21"/>
          <w:u w:val="single"/>
        </w:rPr>
        <w:t>AQ/T4256</w:t>
      </w:r>
      <w:r>
        <w:rPr>
          <w:rFonts w:hint="eastAsia" w:cs="Times New Roman" w:asciiTheme="minorEastAsia" w:hAnsiTheme="minorEastAsia"/>
          <w:bCs/>
          <w:i/>
          <w:iCs/>
          <w:szCs w:val="21"/>
          <w:u w:val="single"/>
        </w:rPr>
        <w:t>和《建筑行业职业病危害预防控制规范》</w:t>
      </w:r>
      <w:r>
        <w:rPr>
          <w:rFonts w:cs="Times New Roman" w:asciiTheme="minorEastAsia" w:hAnsiTheme="minorEastAsia"/>
          <w:bCs/>
          <w:i/>
          <w:iCs/>
          <w:szCs w:val="21"/>
          <w:u w:val="single"/>
        </w:rPr>
        <w:t>GBZ/T211</w:t>
      </w:r>
      <w:r>
        <w:rPr>
          <w:rFonts w:hint="eastAsia" w:cs="Times New Roman" w:asciiTheme="minorEastAsia" w:hAnsiTheme="minorEastAsia"/>
          <w:bCs/>
          <w:i/>
          <w:iCs/>
          <w:szCs w:val="21"/>
          <w:u w:val="single"/>
        </w:rPr>
        <w:t>中</w:t>
      </w:r>
      <w:r>
        <w:rPr>
          <w:rFonts w:hint="eastAsia" w:cs="Times New Roman" w:asciiTheme="minorEastAsia" w:hAnsiTheme="minorEastAsia"/>
          <w:bCs/>
          <w:i/>
          <w:iCs/>
          <w:szCs w:val="21"/>
          <w:u w:val="single"/>
          <w:lang w:eastAsia="zh-CN"/>
        </w:rPr>
        <w:t>寒冷、焊接、高原、桥梁、隧道、电离辐射相关的作业</w:t>
      </w:r>
      <w:r>
        <w:rPr>
          <w:rFonts w:hint="eastAsia" w:cs="Times New Roman" w:asciiTheme="minorEastAsia" w:hAnsiTheme="minorEastAsia"/>
          <w:bCs/>
          <w:i/>
          <w:iCs/>
          <w:szCs w:val="21"/>
          <w:u w:val="single"/>
        </w:rPr>
        <w:t>等建筑施工现场常见职业病危害因素的防护设施设计原则、要求及具体措施，删除了其中不适合重庆地区的或实际施工中较少使用的防护措施。</w:t>
      </w:r>
    </w:p>
    <w:p>
      <w:pPr>
        <w:spacing w:line="360" w:lineRule="auto"/>
        <w:rPr>
          <w:rFonts w:cs="Times New Roman" w:asciiTheme="minorEastAsia" w:hAnsiTheme="minorEastAsia"/>
          <w:bCs/>
          <w:i/>
          <w:iCs/>
          <w:szCs w:val="21"/>
          <w:u w:val="single"/>
        </w:rPr>
      </w:pPr>
      <w:r>
        <w:rPr>
          <w:rFonts w:hint="eastAsia" w:cs="Times New Roman" w:asciiTheme="minorEastAsia" w:hAnsiTheme="minorEastAsia"/>
          <w:bCs/>
          <w:i/>
          <w:iCs/>
          <w:szCs w:val="21"/>
          <w:u w:val="single"/>
        </w:rPr>
        <w:t>本标准在现有技术标准的基础上，查阅建筑施工工艺有关资料和现场调查，梳理了各类工程工序主要施工人员（工种），见附录。相似施工人员（工种）接触相似的职业病危害因素种类，可采取相近的防护措施，建筑施工现场常见职业病危害因素的分布及防护措施情况见附录。以不同工程类型的主要施工人员（工种）为主线表格化罗列，方便查阅。</w:t>
      </w:r>
    </w:p>
    <w:p>
      <w:pPr>
        <w:rPr>
          <w:color w:val="000000"/>
        </w:rPr>
      </w:pPr>
    </w:p>
    <w:p>
      <w:pPr>
        <w:keepNext w:val="0"/>
        <w:keepLines w:val="0"/>
        <w:pageBreakBefore/>
        <w:widowControl/>
        <w:kinsoku/>
        <w:wordWrap/>
        <w:overflowPunct/>
        <w:topLinePunct w:val="0"/>
        <w:autoSpaceDE/>
        <w:autoSpaceDN/>
        <w:bidi w:val="0"/>
        <w:adjustRightInd/>
        <w:snapToGrid w:val="0"/>
        <w:spacing w:before="312" w:beforeLines="100" w:after="312" w:afterLines="100" w:line="240" w:lineRule="auto"/>
        <w:jc w:val="center"/>
        <w:textAlignment w:val="auto"/>
        <w:outlineLvl w:val="0"/>
        <w:rPr>
          <w:rFonts w:hint="eastAsia" w:ascii="宋体" w:hAnsi="宋体" w:eastAsia="宋体" w:cs="宋体"/>
          <w:b/>
          <w:bCs/>
          <w:color w:val="000000"/>
          <w:kern w:val="0"/>
          <w:sz w:val="28"/>
          <w:szCs w:val="28"/>
        </w:rPr>
      </w:pPr>
      <w:bookmarkStart w:id="57" w:name="_Toc94050274"/>
      <w:bookmarkStart w:id="58" w:name="_Toc101823021"/>
      <w:r>
        <w:rPr>
          <w:rFonts w:hint="eastAsia" w:ascii="宋体" w:hAnsi="宋体" w:eastAsia="宋体" w:cs="宋体"/>
          <w:b/>
          <w:bCs/>
          <w:color w:val="000000"/>
          <w:kern w:val="0"/>
          <w:sz w:val="28"/>
          <w:szCs w:val="28"/>
        </w:rPr>
        <w:t xml:space="preserve">5 </w:t>
      </w:r>
      <w:bookmarkStart w:id="59" w:name="_Hlk101822073"/>
      <w:r>
        <w:rPr>
          <w:rFonts w:hint="eastAsia" w:ascii="宋体" w:hAnsi="宋体" w:eastAsia="宋体" w:cs="宋体"/>
          <w:b/>
          <w:bCs/>
          <w:color w:val="000000"/>
          <w:kern w:val="0"/>
          <w:sz w:val="28"/>
          <w:szCs w:val="28"/>
        </w:rPr>
        <w:t>应急救援措施</w:t>
      </w:r>
      <w:bookmarkEnd w:id="59"/>
      <w:r>
        <w:rPr>
          <w:rFonts w:hint="eastAsia" w:ascii="宋体" w:hAnsi="宋体" w:eastAsia="宋体" w:cs="宋体"/>
          <w:b/>
          <w:bCs/>
          <w:color w:val="000000"/>
          <w:kern w:val="0"/>
          <w:sz w:val="28"/>
          <w:szCs w:val="28"/>
        </w:rPr>
        <w:t>及设施</w:t>
      </w:r>
      <w:bookmarkEnd w:id="57"/>
      <w:bookmarkEnd w:id="58"/>
    </w:p>
    <w:p>
      <w:pPr>
        <w:pStyle w:val="40"/>
        <w:numPr>
          <w:ilvl w:val="0"/>
          <w:numId w:val="7"/>
        </w:numPr>
        <w:rPr>
          <w:rFonts w:ascii="Times New Roman" w:hAnsi="Times New Roman"/>
          <w:color w:val="000000"/>
          <w:sz w:val="21"/>
          <w:szCs w:val="21"/>
        </w:rPr>
      </w:pPr>
      <w:r>
        <w:rPr>
          <w:rFonts w:hint="eastAsia" w:ascii="Times New Roman" w:hAnsi="Times New Roman"/>
          <w:color w:val="000000"/>
          <w:sz w:val="21"/>
          <w:szCs w:val="21"/>
        </w:rPr>
        <w:t>项目经理部应建立应急救援机构或组织。</w:t>
      </w:r>
    </w:p>
    <w:p>
      <w:pPr>
        <w:pStyle w:val="40"/>
        <w:numPr>
          <w:ilvl w:val="0"/>
          <w:numId w:val="7"/>
        </w:numPr>
        <w:rPr>
          <w:rFonts w:ascii="Times New Roman" w:hAnsi="Times New Roman"/>
          <w:color w:val="000000"/>
          <w:sz w:val="21"/>
          <w:szCs w:val="21"/>
        </w:rPr>
      </w:pPr>
      <w:r>
        <w:rPr>
          <w:rFonts w:hint="eastAsia" w:ascii="Times New Roman" w:hAnsi="Times New Roman"/>
          <w:color w:val="000000"/>
          <w:sz w:val="21"/>
          <w:szCs w:val="21"/>
        </w:rPr>
        <w:t>项目经理部应根据不同施工阶段可能发生的各种职业病危害事故制定相应的应急救援预案，并定期组织演练，及时修订应急救援预案。</w:t>
      </w:r>
    </w:p>
    <w:p>
      <w:pPr>
        <w:pStyle w:val="40"/>
        <w:numPr>
          <w:ilvl w:val="0"/>
          <w:numId w:val="7"/>
        </w:numPr>
        <w:rPr>
          <w:rFonts w:ascii="Times New Roman" w:hAnsi="Times New Roman"/>
          <w:color w:val="000000"/>
          <w:sz w:val="21"/>
          <w:szCs w:val="21"/>
        </w:rPr>
      </w:pPr>
      <w:r>
        <w:rPr>
          <w:rFonts w:hint="eastAsia" w:ascii="Times New Roman" w:hAnsi="Times New Roman"/>
          <w:color w:val="000000"/>
          <w:sz w:val="21"/>
          <w:szCs w:val="21"/>
        </w:rPr>
        <w:t>按照应急救援预案要求，合理配备快速检测设备、医疗救援设备、急救药品、通讯工具、交通工具、照明装置、个人防护用品等应急救援装备。</w:t>
      </w:r>
    </w:p>
    <w:p>
      <w:pPr>
        <w:spacing w:line="360" w:lineRule="auto"/>
        <w:rPr>
          <w:rFonts w:cs="Times New Roman" w:asciiTheme="minorEastAsia" w:hAnsiTheme="minorEastAsia"/>
          <w:b/>
          <w:i/>
          <w:iCs/>
          <w:szCs w:val="21"/>
          <w:u w:val="single"/>
        </w:rPr>
      </w:pP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内容主要引自《建筑施工企业职业病危害防治技术规范》AQ/T4256和《建筑行业职业病危害预防控制规范》GBZ/T211中建筑施工过程可能存在的应急救援内容，</w:t>
      </w:r>
      <w:r>
        <w:rPr>
          <w:rFonts w:hint="eastAsia" w:cs="Times New Roman" w:asciiTheme="minorEastAsia" w:hAnsiTheme="minorEastAsia"/>
          <w:bCs/>
          <w:i/>
          <w:iCs/>
          <w:szCs w:val="21"/>
          <w:u w:val="single"/>
          <w:lang w:eastAsia="zh-CN"/>
        </w:rPr>
        <w:t>须建立机构或组织，制定相应的应急预案。</w:t>
      </w:r>
    </w:p>
    <w:p>
      <w:pPr>
        <w:pStyle w:val="40"/>
        <w:numPr>
          <w:ilvl w:val="0"/>
          <w:numId w:val="7"/>
        </w:numPr>
        <w:rPr>
          <w:rFonts w:ascii="Times New Roman" w:hAnsi="Times New Roman"/>
          <w:color w:val="000000"/>
          <w:sz w:val="21"/>
          <w:szCs w:val="21"/>
        </w:rPr>
      </w:pPr>
      <w:r>
        <w:rPr>
          <w:rFonts w:hint="eastAsia" w:ascii="Times New Roman" w:hAnsi="Times New Roman"/>
          <w:color w:val="000000"/>
          <w:sz w:val="21"/>
          <w:szCs w:val="21"/>
        </w:rPr>
        <w:t>可能突然泄漏大量有毒化学品或者易造成急性中毒的施工现场（如接触酸、碱、有机溶剂、危险性物品的施工场所等），应设置醒目处设置风向标、自动检测报警装置、事故通风设施、冲洗设备（喷淋、洗眼装置和洗手池等）、应急撤离通道和必要的泄险区。除为劳动者配备常规个人防护用品外，还应在施工现场醒目位置放置必需的防毒用具，以备逃生、抢救时应急使用，并设有专人管理和维护，保证其处于良好待用状态。上风向撤离，应急撤离通道应保持通畅。</w:t>
      </w:r>
    </w:p>
    <w:p>
      <w:pPr>
        <w:pStyle w:val="40"/>
        <w:numPr>
          <w:ilvl w:val="0"/>
          <w:numId w:val="7"/>
        </w:numPr>
        <w:rPr>
          <w:rFonts w:ascii="Times New Roman" w:hAnsi="Times New Roman"/>
          <w:color w:val="000000"/>
          <w:sz w:val="21"/>
          <w:szCs w:val="21"/>
        </w:rPr>
      </w:pPr>
      <w:r>
        <w:rPr>
          <w:rFonts w:hint="eastAsia" w:ascii="Times New Roman" w:hAnsi="Times New Roman"/>
          <w:color w:val="000000"/>
          <w:sz w:val="21"/>
          <w:szCs w:val="21"/>
        </w:rPr>
        <w:t>采取通风措施。孔、井、隧道、罐体等有限空间内作业时，采用必要的通风设备进行通风换气。</w:t>
      </w:r>
    </w:p>
    <w:p>
      <w:pPr>
        <w:pStyle w:val="40"/>
        <w:numPr>
          <w:ilvl w:val="0"/>
          <w:numId w:val="7"/>
        </w:numPr>
        <w:rPr>
          <w:rFonts w:ascii="Times New Roman" w:hAnsi="Times New Roman"/>
          <w:color w:val="000000"/>
          <w:sz w:val="21"/>
          <w:szCs w:val="21"/>
        </w:rPr>
      </w:pPr>
      <w:r>
        <w:rPr>
          <w:rFonts w:hint="eastAsia" w:ascii="Times New Roman" w:hAnsi="Times New Roman"/>
          <w:color w:val="000000"/>
          <w:sz w:val="21"/>
          <w:szCs w:val="21"/>
        </w:rPr>
        <w:t>施工现场安全员、施工员或班组长应具备急救知识，配备急救箱、担架、毯子和其他急救用品。急救箱内应有简单明了的使用说明，并由受过培训的人员进行保管、定期检查和更换。超过200人的施工工地应配备急救室。</w:t>
      </w:r>
    </w:p>
    <w:p>
      <w:pPr>
        <w:spacing w:line="360" w:lineRule="auto"/>
        <w:rPr>
          <w:rFonts w:cs="Times New Roman" w:asciiTheme="minorEastAsia" w:hAnsiTheme="minorEastAsia"/>
          <w:b/>
          <w:i/>
          <w:iCs/>
          <w:szCs w:val="21"/>
          <w:u w:val="single"/>
        </w:rPr>
      </w:pP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内容主要引自《建筑施工企业职业病危害防治技术规范》AQ/T4256和《建筑行业职业病危害预防控制规范》GBZ/T211中建筑施工过程可能存在的应急救援内容，</w:t>
      </w:r>
      <w:r>
        <w:rPr>
          <w:rFonts w:hint="eastAsia" w:cs="Times New Roman" w:asciiTheme="minorEastAsia" w:hAnsiTheme="minorEastAsia"/>
          <w:bCs/>
          <w:i/>
          <w:iCs/>
          <w:szCs w:val="21"/>
          <w:u w:val="single"/>
          <w:lang w:eastAsia="zh-CN"/>
        </w:rPr>
        <w:t>须建立机构或组织，制定相应的应急预案。</w:t>
      </w:r>
    </w:p>
    <w:p>
      <w:pPr>
        <w:pStyle w:val="40"/>
        <w:numPr>
          <w:ilvl w:val="0"/>
          <w:numId w:val="7"/>
        </w:numPr>
        <w:rPr>
          <w:rFonts w:ascii="Times New Roman" w:hAnsi="Times New Roman"/>
          <w:color w:val="000000"/>
          <w:sz w:val="21"/>
          <w:szCs w:val="21"/>
        </w:rPr>
      </w:pPr>
      <w:r>
        <w:rPr>
          <w:rFonts w:hint="eastAsia" w:ascii="Times New Roman" w:hAnsi="Times New Roman"/>
          <w:color w:val="000000"/>
          <w:sz w:val="21"/>
          <w:szCs w:val="21"/>
        </w:rPr>
        <w:t>应根据施工现场可能发生的各种职业病危害事故对全体劳动者进行有针对性的应急救援培训，使劳动者具备事故预防和自救互救等应急处理能力，避免盲目救治。</w:t>
      </w:r>
    </w:p>
    <w:p>
      <w:pPr>
        <w:pStyle w:val="40"/>
        <w:numPr>
          <w:ilvl w:val="0"/>
          <w:numId w:val="7"/>
        </w:numPr>
        <w:rPr>
          <w:rFonts w:ascii="Times New Roman" w:hAnsi="Times New Roman"/>
          <w:color w:val="000000"/>
          <w:sz w:val="21"/>
          <w:szCs w:val="21"/>
        </w:rPr>
      </w:pPr>
      <w:r>
        <w:rPr>
          <w:rFonts w:hint="eastAsia" w:ascii="Times New Roman" w:hAnsi="Times New Roman"/>
          <w:color w:val="000000"/>
          <w:sz w:val="21"/>
          <w:szCs w:val="21"/>
        </w:rPr>
        <w:t>应与就近医疗机构建立合作关系，以便发生急性职业病危害事故时能够及时获得医疗救援援助。</w:t>
      </w:r>
    </w:p>
    <w:p>
      <w:pPr>
        <w:spacing w:line="360" w:lineRule="auto"/>
        <w:rPr>
          <w:color w:val="000000"/>
        </w:rPr>
      </w:pP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内容主要引自《建筑施工企业职业病危害防治技术规范》AQ/T4256和《建筑行业职业病危害预防控制规范》GBZ/T211中</w:t>
      </w:r>
      <w:r>
        <w:rPr>
          <w:rFonts w:hint="eastAsia" w:cs="Times New Roman" w:asciiTheme="minorEastAsia" w:hAnsiTheme="minorEastAsia"/>
          <w:bCs/>
          <w:i/>
          <w:iCs/>
          <w:szCs w:val="21"/>
          <w:u w:val="single"/>
          <w:lang w:eastAsia="zh-CN"/>
        </w:rPr>
        <w:t>要求施工单位开展应急救援培训，并且与医疗机构建立合作关系</w:t>
      </w:r>
      <w:r>
        <w:rPr>
          <w:rFonts w:hint="eastAsia" w:cs="Times New Roman" w:asciiTheme="minorEastAsia" w:hAnsiTheme="minorEastAsia"/>
          <w:bCs/>
          <w:i/>
          <w:iCs/>
          <w:szCs w:val="21"/>
          <w:u w:val="single"/>
        </w:rPr>
        <w:t>。</w:t>
      </w:r>
      <w:bookmarkStart w:id="60" w:name="_Toc25956"/>
      <w:bookmarkStart w:id="61" w:name="_Toc17636"/>
    </w:p>
    <w:p>
      <w:pPr>
        <w:keepNext w:val="0"/>
        <w:keepLines w:val="0"/>
        <w:pageBreakBefore/>
        <w:widowControl/>
        <w:kinsoku/>
        <w:wordWrap/>
        <w:overflowPunct/>
        <w:topLinePunct w:val="0"/>
        <w:autoSpaceDE/>
        <w:autoSpaceDN/>
        <w:bidi w:val="0"/>
        <w:adjustRightInd/>
        <w:snapToGrid w:val="0"/>
        <w:spacing w:before="312" w:beforeLines="100" w:after="312" w:afterLines="100" w:line="240" w:lineRule="auto"/>
        <w:jc w:val="center"/>
        <w:textAlignment w:val="auto"/>
        <w:outlineLvl w:val="0"/>
        <w:rPr>
          <w:rFonts w:hint="eastAsia" w:ascii="宋体" w:hAnsi="宋体" w:eastAsia="宋体" w:cs="宋体"/>
          <w:b/>
          <w:bCs/>
          <w:color w:val="000000"/>
          <w:kern w:val="0"/>
          <w:sz w:val="28"/>
          <w:szCs w:val="28"/>
        </w:rPr>
      </w:pPr>
      <w:bookmarkStart w:id="62" w:name="_Toc94050275"/>
      <w:bookmarkStart w:id="63" w:name="_Toc101823022"/>
      <w:r>
        <w:rPr>
          <w:rFonts w:hint="eastAsia" w:ascii="宋体" w:hAnsi="宋体" w:eastAsia="宋体" w:cs="宋体"/>
          <w:b/>
          <w:bCs/>
          <w:color w:val="000000"/>
          <w:kern w:val="0"/>
          <w:sz w:val="28"/>
          <w:szCs w:val="28"/>
        </w:rPr>
        <w:t>6 劳动防护用品</w:t>
      </w:r>
      <w:bookmarkEnd w:id="62"/>
      <w:bookmarkEnd w:id="63"/>
    </w:p>
    <w:p>
      <w:pPr>
        <w:pStyle w:val="40"/>
        <w:numPr>
          <w:ilvl w:val="0"/>
          <w:numId w:val="8"/>
        </w:numPr>
        <w:rPr>
          <w:rFonts w:ascii="Times New Roman" w:hAnsi="Times New Roman"/>
          <w:color w:val="000000"/>
          <w:sz w:val="21"/>
          <w:szCs w:val="21"/>
        </w:rPr>
      </w:pPr>
      <w:bookmarkStart w:id="64" w:name="_Toc521690234"/>
      <w:bookmarkStart w:id="65" w:name="_Toc521690413"/>
      <w:bookmarkStart w:id="66" w:name="_Toc522545072"/>
      <w:bookmarkStart w:id="67" w:name="_Toc62597183"/>
      <w:r>
        <w:rPr>
          <w:rFonts w:hint="eastAsia" w:ascii="Times New Roman" w:hAnsi="Times New Roman"/>
          <w:color w:val="000000"/>
          <w:sz w:val="21"/>
          <w:szCs w:val="21"/>
        </w:rPr>
        <w:t>施工单位应按</w:t>
      </w:r>
      <w:bookmarkStart w:id="68" w:name="_Hlk528013003"/>
      <w:r>
        <w:rPr>
          <w:rFonts w:hint="eastAsia" w:ascii="Times New Roman" w:hAnsi="Times New Roman"/>
          <w:color w:val="000000"/>
          <w:sz w:val="21"/>
          <w:szCs w:val="21"/>
        </w:rPr>
        <w:t>《个体防护装备选用规范》GB/T11651和《呼吸防护用品的选择、使用与维护》GB/T18</w:t>
      </w:r>
      <w:r>
        <w:rPr>
          <w:rFonts w:ascii="Times New Roman" w:hAnsi="Times New Roman"/>
          <w:color w:val="000000"/>
          <w:sz w:val="21"/>
          <w:szCs w:val="21"/>
        </w:rPr>
        <w:t>66</w:t>
      </w:r>
      <w:r>
        <w:rPr>
          <w:rFonts w:hint="eastAsia" w:ascii="Times New Roman" w:hAnsi="Times New Roman"/>
          <w:color w:val="000000"/>
          <w:sz w:val="21"/>
          <w:szCs w:val="21"/>
        </w:rPr>
        <w:t>4</w:t>
      </w:r>
      <w:bookmarkEnd w:id="68"/>
      <w:r>
        <w:rPr>
          <w:rFonts w:hint="eastAsia" w:ascii="Times New Roman" w:hAnsi="Times New Roman"/>
          <w:color w:val="000000"/>
          <w:sz w:val="21"/>
          <w:szCs w:val="21"/>
        </w:rPr>
        <w:t>的相关规定，为作业人员配备合格的个人劳动防护用品。</w:t>
      </w:r>
      <w:bookmarkEnd w:id="64"/>
      <w:bookmarkEnd w:id="65"/>
      <w:bookmarkEnd w:id="66"/>
      <w:bookmarkEnd w:id="67"/>
      <w:r>
        <w:rPr>
          <w:rFonts w:hint="eastAsia" w:ascii="Times New Roman" w:hAnsi="Times New Roman"/>
          <w:color w:val="000000"/>
          <w:sz w:val="21"/>
          <w:szCs w:val="21"/>
        </w:rPr>
        <w:t>详见附录C。</w:t>
      </w:r>
    </w:p>
    <w:p>
      <w:pPr>
        <w:pStyle w:val="40"/>
        <w:numPr>
          <w:ilvl w:val="0"/>
          <w:numId w:val="8"/>
        </w:numPr>
        <w:rPr>
          <w:rFonts w:ascii="Times New Roman" w:hAnsi="Times New Roman"/>
          <w:color w:val="000000"/>
          <w:sz w:val="21"/>
          <w:szCs w:val="21"/>
        </w:rPr>
      </w:pPr>
      <w:bookmarkStart w:id="69" w:name="_Toc521690235"/>
      <w:bookmarkStart w:id="70" w:name="_Toc521690414"/>
      <w:bookmarkStart w:id="71" w:name="_Toc62597184"/>
      <w:bookmarkStart w:id="72" w:name="_Toc522545073"/>
      <w:r>
        <w:rPr>
          <w:rFonts w:hint="eastAsia" w:ascii="Times New Roman" w:hAnsi="Times New Roman"/>
          <w:color w:val="000000"/>
          <w:sz w:val="21"/>
          <w:szCs w:val="21"/>
        </w:rPr>
        <w:t>施工单应定期或不定期检查劳动者防护用品，确保其有效。</w:t>
      </w:r>
      <w:bookmarkEnd w:id="69"/>
      <w:bookmarkEnd w:id="70"/>
      <w:bookmarkEnd w:id="71"/>
      <w:bookmarkEnd w:id="72"/>
    </w:p>
    <w:p>
      <w:pPr>
        <w:pStyle w:val="40"/>
        <w:numPr>
          <w:ilvl w:val="0"/>
          <w:numId w:val="8"/>
        </w:numPr>
        <w:rPr>
          <w:rFonts w:ascii="Times New Roman" w:hAnsi="Times New Roman"/>
          <w:color w:val="000000"/>
          <w:sz w:val="21"/>
          <w:szCs w:val="21"/>
        </w:rPr>
      </w:pPr>
      <w:bookmarkStart w:id="73" w:name="_Toc62597185"/>
      <w:bookmarkStart w:id="74" w:name="_Toc521690415"/>
      <w:bookmarkStart w:id="75" w:name="_Toc522545074"/>
      <w:bookmarkStart w:id="76" w:name="_Toc521690236"/>
      <w:r>
        <w:rPr>
          <w:rFonts w:hint="eastAsia" w:ascii="Times New Roman" w:hAnsi="Times New Roman"/>
          <w:color w:val="000000"/>
          <w:sz w:val="21"/>
          <w:szCs w:val="21"/>
        </w:rPr>
        <w:t>作业人员应按规定正确使用个人劳动防护用品。</w:t>
      </w:r>
      <w:bookmarkEnd w:id="73"/>
      <w:bookmarkEnd w:id="74"/>
      <w:bookmarkEnd w:id="75"/>
      <w:bookmarkEnd w:id="76"/>
    </w:p>
    <w:p>
      <w:pPr>
        <w:spacing w:line="360" w:lineRule="auto"/>
        <w:rPr>
          <w:rFonts w:cs="Times New Roman" w:asciiTheme="minorEastAsia" w:hAnsiTheme="minorEastAsia"/>
          <w:b/>
          <w:i/>
          <w:iCs/>
          <w:szCs w:val="21"/>
          <w:u w:val="single"/>
        </w:rPr>
      </w:pP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本章内容主要引自《个体防护装备选用规范》GB/T11651和《呼吸防护用品的选择、使用与维护》GB/T18664，在附录C中具体列出了主要施工人员的个人防护用品配备参考，进一步增加了防尘口罩参数要求。以不同工程类型的主要施工人员（工种）为主线表格化罗列，方便查阅。</w:t>
      </w:r>
    </w:p>
    <w:p/>
    <w:p>
      <w:pPr>
        <w:pStyle w:val="40"/>
        <w:rPr>
          <w:rFonts w:ascii="Times New Roman" w:hAnsi="Times New Roman"/>
        </w:rPr>
        <w:sectPr>
          <w:pgSz w:w="11906" w:h="16838"/>
          <w:pgMar w:top="1304" w:right="1418" w:bottom="1304" w:left="1418" w:header="851" w:footer="992" w:gutter="0"/>
          <w:pgBorders>
            <w:top w:val="none" w:sz="0" w:space="0"/>
            <w:left w:val="none" w:sz="0" w:space="0"/>
            <w:bottom w:val="none" w:sz="0" w:space="0"/>
            <w:right w:val="none" w:sz="0" w:space="0"/>
          </w:pgBorders>
          <w:cols w:space="720" w:num="1"/>
          <w:docGrid w:type="linesAndChars" w:linePitch="312" w:charSpace="0"/>
        </w:sectPr>
      </w:pPr>
    </w:p>
    <w:bookmarkEnd w:id="40"/>
    <w:bookmarkEnd w:id="60"/>
    <w:bookmarkEnd w:id="61"/>
    <w:p>
      <w:pPr>
        <w:pageBreakBefore/>
        <w:widowControl/>
        <w:spacing w:line="360" w:lineRule="auto"/>
        <w:jc w:val="center"/>
        <w:outlineLvl w:val="0"/>
        <w:rPr>
          <w:rFonts w:ascii="Times New Roman" w:hAnsi="Times New Roman"/>
          <w:b/>
          <w:bCs/>
          <w:kern w:val="0"/>
          <w:sz w:val="28"/>
          <w:szCs w:val="28"/>
        </w:rPr>
      </w:pPr>
      <w:bookmarkStart w:id="77" w:name="_Toc13281"/>
      <w:bookmarkStart w:id="78" w:name="_Toc94050276"/>
      <w:bookmarkStart w:id="79" w:name="_Toc101823023"/>
      <w:bookmarkStart w:id="80" w:name="_Toc489189301"/>
      <w:bookmarkStart w:id="81" w:name="_Toc1629"/>
      <w:bookmarkStart w:id="82" w:name="_Toc26884"/>
      <w:bookmarkStart w:id="83" w:name="_Toc9310"/>
      <w:r>
        <w:rPr>
          <w:rFonts w:ascii="Times New Roman" w:hAnsi="Times New Roman"/>
          <w:b/>
          <w:bCs/>
          <w:kern w:val="0"/>
          <w:sz w:val="28"/>
          <w:szCs w:val="28"/>
        </w:rPr>
        <w:t xml:space="preserve">附录A </w:t>
      </w:r>
      <w:r>
        <w:rPr>
          <w:rFonts w:hint="eastAsia" w:ascii="Times New Roman" w:hAnsi="Times New Roman"/>
          <w:b/>
          <w:bCs/>
          <w:kern w:val="0"/>
          <w:sz w:val="28"/>
          <w:szCs w:val="28"/>
        </w:rPr>
        <w:t>工程建设有关单位的主要职业卫生管理责任</w:t>
      </w:r>
      <w:bookmarkEnd w:id="77"/>
      <w:r>
        <w:rPr>
          <w:rFonts w:hint="eastAsia" w:ascii="Times New Roman" w:hAnsi="Times New Roman"/>
          <w:b/>
          <w:bCs/>
          <w:kern w:val="0"/>
          <w:sz w:val="28"/>
          <w:szCs w:val="28"/>
        </w:rPr>
        <w:t>对照表</w:t>
      </w:r>
      <w:bookmarkEnd w:id="78"/>
      <w:bookmarkEnd w:id="79"/>
    </w:p>
    <w:tbl>
      <w:tblPr>
        <w:tblStyle w:val="21"/>
        <w:tblW w:w="9731" w:type="dxa"/>
        <w:jc w:val="center"/>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Layout w:type="fixed"/>
        <w:tblCellMar>
          <w:top w:w="0" w:type="dxa"/>
          <w:left w:w="108" w:type="dxa"/>
          <w:bottom w:w="0" w:type="dxa"/>
          <w:right w:w="108" w:type="dxa"/>
        </w:tblCellMar>
      </w:tblPr>
      <w:tblGrid>
        <w:gridCol w:w="804"/>
        <w:gridCol w:w="1393"/>
        <w:gridCol w:w="1260"/>
        <w:gridCol w:w="6274"/>
      </w:tblGrid>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trHeight w:val="492" w:hRule="atLeast"/>
          <w:jc w:val="center"/>
        </w:trPr>
        <w:tc>
          <w:tcPr>
            <w:tcW w:w="2197" w:type="dxa"/>
            <w:gridSpan w:val="2"/>
            <w:vAlign w:val="center"/>
          </w:tcPr>
          <w:p>
            <w:pPr>
              <w:widowControl/>
              <w:jc w:val="center"/>
              <w:rPr>
                <w:szCs w:val="21"/>
              </w:rPr>
            </w:pPr>
            <w:r>
              <w:rPr>
                <w:rFonts w:hint="eastAsia"/>
                <w:szCs w:val="21"/>
              </w:rPr>
              <w:t>建筑施工有关单位</w:t>
            </w:r>
          </w:p>
        </w:tc>
        <w:tc>
          <w:tcPr>
            <w:tcW w:w="1260" w:type="dxa"/>
            <w:vAlign w:val="center"/>
          </w:tcPr>
          <w:p>
            <w:pPr>
              <w:widowControl/>
              <w:jc w:val="center"/>
              <w:rPr>
                <w:szCs w:val="21"/>
              </w:rPr>
            </w:pPr>
            <w:r>
              <w:rPr>
                <w:rFonts w:hint="eastAsia"/>
                <w:szCs w:val="21"/>
              </w:rPr>
              <w:t>责任人</w:t>
            </w:r>
          </w:p>
        </w:tc>
        <w:tc>
          <w:tcPr>
            <w:tcW w:w="6274" w:type="dxa"/>
            <w:vAlign w:val="center"/>
          </w:tcPr>
          <w:p>
            <w:pPr>
              <w:widowControl/>
              <w:jc w:val="center"/>
              <w:rPr>
                <w:szCs w:val="21"/>
              </w:rPr>
            </w:pPr>
            <w:r>
              <w:rPr>
                <w:rFonts w:hint="eastAsia"/>
                <w:szCs w:val="21"/>
              </w:rPr>
              <w:t>主要职业卫生管理责任</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2197" w:type="dxa"/>
            <w:gridSpan w:val="2"/>
            <w:vAlign w:val="center"/>
          </w:tcPr>
          <w:p>
            <w:pPr>
              <w:widowControl/>
              <w:jc w:val="center"/>
              <w:rPr>
                <w:szCs w:val="21"/>
              </w:rPr>
            </w:pPr>
            <w:r>
              <w:rPr>
                <w:rFonts w:hint="eastAsia"/>
                <w:szCs w:val="21"/>
              </w:rPr>
              <w:t>建设单位</w:t>
            </w:r>
          </w:p>
        </w:tc>
        <w:tc>
          <w:tcPr>
            <w:tcW w:w="1260" w:type="dxa"/>
            <w:vAlign w:val="center"/>
          </w:tcPr>
          <w:p>
            <w:pPr>
              <w:widowControl/>
              <w:jc w:val="center"/>
              <w:rPr>
                <w:szCs w:val="21"/>
              </w:rPr>
            </w:pPr>
            <w:r>
              <w:rPr>
                <w:rFonts w:hint="eastAsia"/>
                <w:szCs w:val="21"/>
              </w:rPr>
              <w:t>项目负责人</w:t>
            </w:r>
          </w:p>
        </w:tc>
        <w:tc>
          <w:tcPr>
            <w:tcW w:w="6274" w:type="dxa"/>
            <w:vAlign w:val="center"/>
          </w:tcPr>
          <w:p>
            <w:pPr>
              <w:widowControl/>
              <w:numPr>
                <w:ilvl w:val="0"/>
                <w:numId w:val="9"/>
              </w:numPr>
              <w:jc w:val="left"/>
              <w:rPr>
                <w:szCs w:val="21"/>
              </w:rPr>
            </w:pPr>
            <w:r>
              <w:rPr>
                <w:rFonts w:hint="eastAsia"/>
                <w:szCs w:val="21"/>
              </w:rPr>
              <w:t>建立职业卫生管理机构或组织；</w:t>
            </w:r>
          </w:p>
          <w:p>
            <w:pPr>
              <w:widowControl/>
              <w:numPr>
                <w:ilvl w:val="0"/>
                <w:numId w:val="9"/>
              </w:numPr>
              <w:jc w:val="left"/>
              <w:rPr>
                <w:szCs w:val="21"/>
              </w:rPr>
            </w:pPr>
            <w:r>
              <w:rPr>
                <w:rFonts w:hint="eastAsia"/>
                <w:szCs w:val="21"/>
              </w:rPr>
              <w:t>建立健全职业卫生档案；</w:t>
            </w:r>
          </w:p>
          <w:p>
            <w:pPr>
              <w:widowControl/>
              <w:numPr>
                <w:ilvl w:val="0"/>
                <w:numId w:val="9"/>
              </w:numPr>
              <w:jc w:val="left"/>
              <w:rPr>
                <w:szCs w:val="21"/>
              </w:rPr>
            </w:pPr>
            <w:r>
              <w:rPr>
                <w:rFonts w:hint="eastAsia"/>
                <w:szCs w:val="21"/>
              </w:rPr>
              <w:t>建设项目职业病防护设施“三同时”（预评价、设计阶段）；</w:t>
            </w:r>
          </w:p>
          <w:p>
            <w:pPr>
              <w:widowControl/>
              <w:numPr>
                <w:ilvl w:val="0"/>
                <w:numId w:val="9"/>
              </w:numPr>
              <w:jc w:val="left"/>
              <w:rPr>
                <w:szCs w:val="21"/>
              </w:rPr>
            </w:pPr>
            <w:r>
              <w:rPr>
                <w:rFonts w:hint="eastAsia"/>
                <w:szCs w:val="21"/>
              </w:rPr>
              <w:t>确保职业病防治管理必要的经费纳入预算和成本。</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804" w:type="dxa"/>
            <w:vMerge w:val="restart"/>
            <w:vAlign w:val="center"/>
          </w:tcPr>
          <w:p>
            <w:pPr>
              <w:widowControl/>
              <w:jc w:val="center"/>
              <w:rPr>
                <w:szCs w:val="21"/>
              </w:rPr>
            </w:pPr>
            <w:r>
              <w:rPr>
                <w:rFonts w:hint="eastAsia"/>
                <w:szCs w:val="21"/>
              </w:rPr>
              <w:t>施工企业</w:t>
            </w:r>
          </w:p>
        </w:tc>
        <w:tc>
          <w:tcPr>
            <w:tcW w:w="1393" w:type="dxa"/>
            <w:vAlign w:val="center"/>
          </w:tcPr>
          <w:p>
            <w:pPr>
              <w:widowControl/>
              <w:jc w:val="center"/>
              <w:rPr>
                <w:szCs w:val="21"/>
              </w:rPr>
            </w:pPr>
            <w:r>
              <w:rPr>
                <w:rFonts w:hint="eastAsia"/>
                <w:szCs w:val="21"/>
              </w:rPr>
              <w:t>工程总承包</w:t>
            </w:r>
          </w:p>
        </w:tc>
        <w:tc>
          <w:tcPr>
            <w:tcW w:w="1260" w:type="dxa"/>
            <w:vAlign w:val="center"/>
          </w:tcPr>
          <w:p>
            <w:pPr>
              <w:widowControl/>
              <w:jc w:val="center"/>
              <w:rPr>
                <w:szCs w:val="21"/>
              </w:rPr>
            </w:pPr>
            <w:r>
              <w:rPr>
                <w:rFonts w:hint="eastAsia"/>
                <w:szCs w:val="21"/>
              </w:rPr>
              <w:t>项目经理</w:t>
            </w:r>
          </w:p>
        </w:tc>
        <w:tc>
          <w:tcPr>
            <w:tcW w:w="6274" w:type="dxa"/>
            <w:vAlign w:val="center"/>
          </w:tcPr>
          <w:p>
            <w:pPr>
              <w:widowControl/>
              <w:numPr>
                <w:ilvl w:val="0"/>
                <w:numId w:val="10"/>
              </w:numPr>
              <w:jc w:val="left"/>
              <w:rPr>
                <w:szCs w:val="21"/>
              </w:rPr>
            </w:pPr>
            <w:r>
              <w:rPr>
                <w:rFonts w:hint="eastAsia"/>
                <w:szCs w:val="21"/>
              </w:rPr>
              <w:t>建立职业卫生管理机构或组织；</w:t>
            </w:r>
          </w:p>
          <w:p>
            <w:pPr>
              <w:widowControl/>
              <w:numPr>
                <w:ilvl w:val="0"/>
                <w:numId w:val="10"/>
              </w:numPr>
              <w:jc w:val="left"/>
              <w:rPr>
                <w:szCs w:val="21"/>
              </w:rPr>
            </w:pPr>
            <w:r>
              <w:rPr>
                <w:rFonts w:hint="eastAsia"/>
                <w:szCs w:val="21"/>
              </w:rPr>
              <w:t>配备专职或兼职的职业卫生专业人员；</w:t>
            </w:r>
          </w:p>
          <w:p>
            <w:pPr>
              <w:widowControl/>
              <w:numPr>
                <w:ilvl w:val="0"/>
                <w:numId w:val="10"/>
              </w:numPr>
              <w:jc w:val="left"/>
              <w:rPr>
                <w:szCs w:val="21"/>
              </w:rPr>
            </w:pPr>
            <w:r>
              <w:rPr>
                <w:rFonts w:hint="eastAsia"/>
                <w:szCs w:val="21"/>
              </w:rPr>
              <w:t>制定职业病防治计划和实施方案；</w:t>
            </w:r>
          </w:p>
          <w:p>
            <w:pPr>
              <w:widowControl/>
              <w:numPr>
                <w:ilvl w:val="0"/>
                <w:numId w:val="10"/>
              </w:numPr>
              <w:jc w:val="left"/>
              <w:rPr>
                <w:szCs w:val="21"/>
              </w:rPr>
            </w:pPr>
            <w:r>
              <w:rPr>
                <w:rFonts w:hint="eastAsia"/>
                <w:szCs w:val="21"/>
              </w:rPr>
              <w:t>建立职业卫生管理制度和操作规程；</w:t>
            </w:r>
          </w:p>
          <w:p>
            <w:pPr>
              <w:widowControl/>
              <w:numPr>
                <w:ilvl w:val="0"/>
                <w:numId w:val="10"/>
              </w:numPr>
              <w:jc w:val="left"/>
              <w:rPr>
                <w:szCs w:val="21"/>
              </w:rPr>
            </w:pPr>
            <w:r>
              <w:rPr>
                <w:rFonts w:hint="eastAsia"/>
                <w:szCs w:val="21"/>
              </w:rPr>
              <w:t>建立健全职业卫生档案；</w:t>
            </w:r>
          </w:p>
          <w:p>
            <w:pPr>
              <w:widowControl/>
              <w:numPr>
                <w:ilvl w:val="0"/>
                <w:numId w:val="10"/>
              </w:numPr>
              <w:jc w:val="left"/>
              <w:rPr>
                <w:szCs w:val="21"/>
              </w:rPr>
            </w:pPr>
            <w:r>
              <w:rPr>
                <w:rFonts w:hint="eastAsia"/>
                <w:szCs w:val="21"/>
              </w:rPr>
              <w:t>建设项目职业病防护设施“三同时”（控制效果评价阶段）；</w:t>
            </w:r>
          </w:p>
          <w:p>
            <w:pPr>
              <w:widowControl/>
              <w:numPr>
                <w:ilvl w:val="0"/>
                <w:numId w:val="10"/>
              </w:numPr>
              <w:jc w:val="left"/>
              <w:rPr>
                <w:szCs w:val="21"/>
              </w:rPr>
            </w:pPr>
            <w:r>
              <w:rPr>
                <w:rFonts w:hint="eastAsia"/>
                <w:szCs w:val="21"/>
              </w:rPr>
              <w:t>开展作业场所职业病危害因素的监测；</w:t>
            </w:r>
          </w:p>
          <w:p>
            <w:pPr>
              <w:widowControl/>
              <w:numPr>
                <w:ilvl w:val="0"/>
                <w:numId w:val="10"/>
              </w:numPr>
              <w:jc w:val="left"/>
              <w:rPr>
                <w:szCs w:val="21"/>
              </w:rPr>
            </w:pPr>
            <w:r>
              <w:rPr>
                <w:rFonts w:hint="eastAsia"/>
                <w:szCs w:val="21"/>
              </w:rPr>
              <w:t>签订劳动合同时履行职业病危害告知义务；</w:t>
            </w:r>
          </w:p>
          <w:p>
            <w:pPr>
              <w:widowControl/>
              <w:numPr>
                <w:ilvl w:val="0"/>
                <w:numId w:val="10"/>
              </w:numPr>
              <w:jc w:val="left"/>
              <w:rPr>
                <w:szCs w:val="21"/>
              </w:rPr>
            </w:pPr>
            <w:r>
              <w:rPr>
                <w:rFonts w:hint="eastAsia"/>
                <w:szCs w:val="21"/>
              </w:rPr>
              <w:t>配发防护设施和个人防护用品；</w:t>
            </w:r>
          </w:p>
          <w:p>
            <w:pPr>
              <w:widowControl/>
              <w:numPr>
                <w:ilvl w:val="0"/>
                <w:numId w:val="10"/>
              </w:numPr>
              <w:jc w:val="left"/>
              <w:rPr>
                <w:szCs w:val="21"/>
              </w:rPr>
            </w:pPr>
            <w:r>
              <w:rPr>
                <w:rFonts w:hint="eastAsia"/>
                <w:szCs w:val="21"/>
              </w:rPr>
              <w:t>开展职业健康监护；</w:t>
            </w:r>
          </w:p>
          <w:p>
            <w:pPr>
              <w:widowControl/>
              <w:numPr>
                <w:ilvl w:val="0"/>
                <w:numId w:val="10"/>
              </w:numPr>
              <w:jc w:val="left"/>
              <w:rPr>
                <w:szCs w:val="21"/>
              </w:rPr>
            </w:pPr>
            <w:r>
              <w:rPr>
                <w:rFonts w:hint="eastAsia"/>
                <w:szCs w:val="21"/>
              </w:rPr>
              <w:t>确保职业病防治管理必要的经费投入；</w:t>
            </w:r>
          </w:p>
          <w:p>
            <w:pPr>
              <w:widowControl/>
              <w:numPr>
                <w:ilvl w:val="0"/>
                <w:numId w:val="10"/>
              </w:numPr>
              <w:jc w:val="left"/>
              <w:rPr>
                <w:szCs w:val="21"/>
              </w:rPr>
            </w:pPr>
            <w:r>
              <w:rPr>
                <w:rFonts w:hint="eastAsia"/>
                <w:szCs w:val="21"/>
              </w:rPr>
              <w:t>监督项目分包方职业病防治工作</w:t>
            </w:r>
          </w:p>
          <w:p>
            <w:pPr>
              <w:widowControl/>
              <w:numPr>
                <w:ilvl w:val="0"/>
                <w:numId w:val="10"/>
              </w:numPr>
              <w:jc w:val="left"/>
              <w:rPr>
                <w:szCs w:val="21"/>
              </w:rPr>
            </w:pPr>
            <w:r>
              <w:rPr>
                <w:rFonts w:hint="eastAsia"/>
                <w:szCs w:val="21"/>
              </w:rPr>
              <w:t>接受建设单位、项目监理方的监督。</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804" w:type="dxa"/>
            <w:vMerge w:val="continue"/>
            <w:vAlign w:val="center"/>
          </w:tcPr>
          <w:p>
            <w:pPr>
              <w:widowControl/>
              <w:jc w:val="center"/>
              <w:rPr>
                <w:szCs w:val="21"/>
              </w:rPr>
            </w:pPr>
          </w:p>
        </w:tc>
        <w:tc>
          <w:tcPr>
            <w:tcW w:w="1393" w:type="dxa"/>
            <w:vAlign w:val="center"/>
          </w:tcPr>
          <w:p>
            <w:pPr>
              <w:widowControl/>
              <w:jc w:val="center"/>
              <w:rPr>
                <w:szCs w:val="21"/>
              </w:rPr>
            </w:pPr>
            <w:r>
              <w:rPr>
                <w:rFonts w:hint="eastAsia"/>
                <w:szCs w:val="21"/>
              </w:rPr>
              <w:t>项目分包方</w:t>
            </w:r>
          </w:p>
        </w:tc>
        <w:tc>
          <w:tcPr>
            <w:tcW w:w="1260" w:type="dxa"/>
            <w:vAlign w:val="center"/>
          </w:tcPr>
          <w:p>
            <w:pPr>
              <w:widowControl/>
              <w:jc w:val="center"/>
              <w:rPr>
                <w:szCs w:val="21"/>
              </w:rPr>
            </w:pPr>
            <w:r>
              <w:rPr>
                <w:rFonts w:hint="eastAsia"/>
                <w:szCs w:val="21"/>
              </w:rPr>
              <w:t>项目分包责任人</w:t>
            </w:r>
          </w:p>
        </w:tc>
        <w:tc>
          <w:tcPr>
            <w:tcW w:w="6274" w:type="dxa"/>
            <w:vAlign w:val="center"/>
          </w:tcPr>
          <w:p>
            <w:pPr>
              <w:widowControl/>
              <w:numPr>
                <w:ilvl w:val="0"/>
                <w:numId w:val="11"/>
              </w:numPr>
              <w:jc w:val="left"/>
              <w:rPr>
                <w:szCs w:val="21"/>
              </w:rPr>
            </w:pPr>
            <w:r>
              <w:rPr>
                <w:rFonts w:hint="eastAsia"/>
                <w:szCs w:val="21"/>
              </w:rPr>
              <w:t>设置职业卫生管理机构或组织；</w:t>
            </w:r>
          </w:p>
          <w:p>
            <w:pPr>
              <w:widowControl/>
              <w:numPr>
                <w:ilvl w:val="0"/>
                <w:numId w:val="11"/>
              </w:numPr>
              <w:jc w:val="left"/>
              <w:rPr>
                <w:szCs w:val="21"/>
              </w:rPr>
            </w:pPr>
            <w:r>
              <w:rPr>
                <w:rFonts w:hint="eastAsia"/>
                <w:szCs w:val="21"/>
              </w:rPr>
              <w:t>配备专职或兼职的职业卫生专业人员；</w:t>
            </w:r>
          </w:p>
          <w:p>
            <w:pPr>
              <w:widowControl/>
              <w:numPr>
                <w:ilvl w:val="0"/>
                <w:numId w:val="11"/>
              </w:numPr>
              <w:jc w:val="left"/>
              <w:rPr>
                <w:szCs w:val="21"/>
              </w:rPr>
            </w:pPr>
            <w:r>
              <w:rPr>
                <w:rFonts w:hint="eastAsia"/>
                <w:szCs w:val="21"/>
              </w:rPr>
              <w:t>建立健全职业卫生档案；</w:t>
            </w:r>
          </w:p>
          <w:p>
            <w:pPr>
              <w:widowControl/>
              <w:numPr>
                <w:ilvl w:val="0"/>
                <w:numId w:val="11"/>
              </w:numPr>
              <w:jc w:val="left"/>
              <w:rPr>
                <w:szCs w:val="21"/>
              </w:rPr>
            </w:pPr>
            <w:r>
              <w:rPr>
                <w:rFonts w:hint="eastAsia"/>
                <w:szCs w:val="21"/>
              </w:rPr>
              <w:t>配发防护设施和个人防护用品；</w:t>
            </w:r>
          </w:p>
          <w:p>
            <w:pPr>
              <w:widowControl/>
              <w:numPr>
                <w:ilvl w:val="0"/>
                <w:numId w:val="11"/>
              </w:numPr>
              <w:jc w:val="left"/>
              <w:rPr>
                <w:szCs w:val="21"/>
              </w:rPr>
            </w:pPr>
            <w:r>
              <w:rPr>
                <w:rFonts w:hint="eastAsia"/>
                <w:szCs w:val="21"/>
              </w:rPr>
              <w:t>开展职业健康监护；</w:t>
            </w:r>
          </w:p>
          <w:p>
            <w:pPr>
              <w:widowControl/>
              <w:numPr>
                <w:ilvl w:val="0"/>
                <w:numId w:val="11"/>
              </w:numPr>
              <w:jc w:val="left"/>
              <w:rPr>
                <w:szCs w:val="21"/>
              </w:rPr>
            </w:pPr>
            <w:r>
              <w:rPr>
                <w:rFonts w:hint="eastAsia"/>
                <w:szCs w:val="21"/>
              </w:rPr>
              <w:t>确保职业病防治管理必要的经费投入</w:t>
            </w:r>
          </w:p>
          <w:p>
            <w:pPr>
              <w:widowControl/>
              <w:numPr>
                <w:ilvl w:val="0"/>
                <w:numId w:val="10"/>
              </w:numPr>
              <w:jc w:val="left"/>
              <w:rPr>
                <w:szCs w:val="21"/>
              </w:rPr>
            </w:pPr>
            <w:r>
              <w:rPr>
                <w:rFonts w:hint="eastAsia"/>
                <w:szCs w:val="21"/>
              </w:rPr>
              <w:t>接受工程总承包方、项目监理方的监督。</w:t>
            </w:r>
          </w:p>
        </w:tc>
      </w:tr>
      <w:tr>
        <w:tblPrEx>
          <w:tblBorders>
            <w:top w:val="single" w:color="000000" w:sz="8" w:space="0"/>
            <w:left w:val="single" w:color="000000" w:sz="8" w:space="0"/>
            <w:bottom w:val="single" w:color="000000" w:sz="8" w:space="0"/>
            <w:right w:val="single" w:color="000000" w:sz="8" w:space="0"/>
            <w:insideH w:val="single" w:color="000000" w:sz="4" w:space="0"/>
            <w:insideV w:val="single" w:color="000000" w:sz="4" w:space="0"/>
          </w:tblBorders>
          <w:tblCellMar>
            <w:top w:w="0" w:type="dxa"/>
            <w:left w:w="108" w:type="dxa"/>
            <w:bottom w:w="0" w:type="dxa"/>
            <w:right w:w="108" w:type="dxa"/>
          </w:tblCellMar>
        </w:tblPrEx>
        <w:trPr>
          <w:jc w:val="center"/>
        </w:trPr>
        <w:tc>
          <w:tcPr>
            <w:tcW w:w="2197" w:type="dxa"/>
            <w:gridSpan w:val="2"/>
            <w:vAlign w:val="center"/>
          </w:tcPr>
          <w:p>
            <w:pPr>
              <w:widowControl/>
              <w:jc w:val="center"/>
              <w:rPr>
                <w:szCs w:val="21"/>
              </w:rPr>
            </w:pPr>
            <w:r>
              <w:rPr>
                <w:rFonts w:hint="eastAsia"/>
                <w:szCs w:val="21"/>
              </w:rPr>
              <w:t>项目监理单位</w:t>
            </w:r>
          </w:p>
        </w:tc>
        <w:tc>
          <w:tcPr>
            <w:tcW w:w="1260" w:type="dxa"/>
            <w:vAlign w:val="center"/>
          </w:tcPr>
          <w:p>
            <w:pPr>
              <w:widowControl/>
              <w:jc w:val="center"/>
              <w:rPr>
                <w:szCs w:val="21"/>
              </w:rPr>
            </w:pPr>
            <w:r>
              <w:rPr>
                <w:rFonts w:hint="eastAsia"/>
                <w:szCs w:val="21"/>
              </w:rPr>
              <w:t>项目监理责任人</w:t>
            </w:r>
          </w:p>
        </w:tc>
        <w:tc>
          <w:tcPr>
            <w:tcW w:w="6274" w:type="dxa"/>
            <w:vAlign w:val="center"/>
          </w:tcPr>
          <w:p>
            <w:pPr>
              <w:widowControl/>
              <w:numPr>
                <w:ilvl w:val="0"/>
                <w:numId w:val="12"/>
              </w:numPr>
              <w:jc w:val="left"/>
              <w:rPr>
                <w:szCs w:val="21"/>
              </w:rPr>
            </w:pPr>
            <w:r>
              <w:rPr>
                <w:rFonts w:hint="eastAsia"/>
                <w:szCs w:val="21"/>
              </w:rPr>
              <w:t>监督施工企业职业病防治管理必要的经费使用情况；</w:t>
            </w:r>
          </w:p>
          <w:p>
            <w:pPr>
              <w:widowControl/>
              <w:numPr>
                <w:ilvl w:val="0"/>
                <w:numId w:val="12"/>
              </w:numPr>
              <w:jc w:val="left"/>
              <w:rPr>
                <w:szCs w:val="21"/>
              </w:rPr>
            </w:pPr>
            <w:r>
              <w:rPr>
                <w:rFonts w:hint="eastAsia"/>
                <w:szCs w:val="21"/>
              </w:rPr>
              <w:t>监督施工企业职业卫生管理制度和操作规程执行情况；</w:t>
            </w:r>
          </w:p>
          <w:p>
            <w:pPr>
              <w:widowControl/>
              <w:numPr>
                <w:ilvl w:val="0"/>
                <w:numId w:val="12"/>
              </w:numPr>
              <w:jc w:val="left"/>
              <w:rPr>
                <w:szCs w:val="21"/>
              </w:rPr>
            </w:pPr>
            <w:r>
              <w:rPr>
                <w:rFonts w:hint="eastAsia"/>
                <w:szCs w:val="21"/>
              </w:rPr>
              <w:t>监督施工企业防护设施、个人防护用品使用情况；</w:t>
            </w:r>
          </w:p>
          <w:p>
            <w:pPr>
              <w:widowControl/>
              <w:numPr>
                <w:ilvl w:val="0"/>
                <w:numId w:val="12"/>
              </w:numPr>
              <w:jc w:val="left"/>
              <w:rPr>
                <w:szCs w:val="21"/>
              </w:rPr>
            </w:pPr>
            <w:r>
              <w:rPr>
                <w:rFonts w:hint="eastAsia"/>
                <w:szCs w:val="21"/>
              </w:rPr>
              <w:t>监督施工企业职业健康监护执行情况。</w:t>
            </w:r>
          </w:p>
        </w:tc>
      </w:tr>
    </w:tbl>
    <w:p>
      <w:pPr>
        <w:pStyle w:val="36"/>
        <w:rPr>
          <w:rFonts w:ascii="Times New Roman" w:eastAsia="方正仿宋_GBK"/>
        </w:rPr>
      </w:pPr>
    </w:p>
    <w:p>
      <w:pPr>
        <w:pStyle w:val="36"/>
        <w:rPr>
          <w:rFonts w:ascii="Times New Roman" w:eastAsia="方正仿宋_GBK"/>
        </w:rPr>
        <w:sectPr>
          <w:headerReference r:id="rId6" w:type="default"/>
          <w:footerReference r:id="rId7" w:type="default"/>
          <w:pgSz w:w="11906" w:h="16838"/>
          <w:pgMar w:top="1304" w:right="1418" w:bottom="1304" w:left="1418" w:header="851" w:footer="992" w:gutter="0"/>
          <w:pgBorders>
            <w:top w:val="none" w:sz="0" w:space="0"/>
            <w:left w:val="none" w:sz="0" w:space="0"/>
            <w:bottom w:val="none" w:sz="0" w:space="0"/>
            <w:right w:val="none" w:sz="0" w:space="0"/>
          </w:pgBorders>
          <w:cols w:space="720" w:num="1"/>
          <w:docGrid w:type="linesAndChars" w:linePitch="312" w:charSpace="0"/>
        </w:sectPr>
      </w:pPr>
    </w:p>
    <w:tbl>
      <w:tblPr>
        <w:tblStyle w:val="21"/>
        <w:tblW w:w="146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77"/>
        <w:gridCol w:w="1778"/>
        <w:gridCol w:w="1691"/>
        <w:gridCol w:w="7574"/>
        <w:gridCol w:w="17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blHeader/>
          <w:jc w:val="center"/>
        </w:trPr>
        <w:tc>
          <w:tcPr>
            <w:tcW w:w="14612" w:type="dxa"/>
            <w:gridSpan w:val="5"/>
            <w:tcBorders>
              <w:top w:val="nil"/>
              <w:left w:val="nil"/>
              <w:bottom w:val="single" w:color="000000" w:themeColor="text1" w:sz="8" w:space="0"/>
              <w:right w:val="nil"/>
            </w:tcBorders>
            <w:vAlign w:val="center"/>
          </w:tcPr>
          <w:p>
            <w:pPr>
              <w:widowControl/>
              <w:jc w:val="center"/>
              <w:rPr>
                <w:rFonts w:cs="宋体"/>
                <w:kern w:val="0"/>
                <w:szCs w:val="21"/>
              </w:rPr>
            </w:pPr>
            <w:r>
              <w:rPr>
                <w:rFonts w:ascii="Times New Roman" w:hAnsi="Times New Roman"/>
                <w:b/>
                <w:bCs/>
                <w:kern w:val="0"/>
                <w:sz w:val="28"/>
                <w:szCs w:val="28"/>
              </w:rPr>
              <w:t xml:space="preserve">附录B </w:t>
            </w:r>
            <w:r>
              <w:rPr>
                <w:rFonts w:hint="eastAsia" w:ascii="Times New Roman" w:hAnsi="Times New Roman"/>
                <w:b/>
                <w:bCs/>
                <w:kern w:val="0"/>
                <w:sz w:val="28"/>
                <w:szCs w:val="28"/>
              </w:rPr>
              <w:t>建筑施工现场常见职业病危害防控措施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0" w:hRule="atLeast"/>
          <w:tblHeader/>
          <w:jc w:val="center"/>
        </w:trPr>
        <w:tc>
          <w:tcPr>
            <w:tcW w:w="3555" w:type="dxa"/>
            <w:gridSpan w:val="2"/>
            <w:tcBorders>
              <w:top w:val="single" w:color="000000" w:themeColor="text1" w:sz="8" w:space="0"/>
              <w:left w:val="single" w:color="000000" w:themeColor="text1" w:sz="8" w:space="0"/>
            </w:tcBorders>
            <w:vAlign w:val="center"/>
          </w:tcPr>
          <w:p>
            <w:pPr>
              <w:widowControl/>
              <w:jc w:val="center"/>
              <w:rPr>
                <w:rFonts w:hint="eastAsia" w:cs="宋体" w:asciiTheme="minorHAnsi" w:hAnsiTheme="minorHAnsi" w:eastAsiaTheme="minorEastAsia"/>
                <w:kern w:val="0"/>
                <w:sz w:val="21"/>
                <w:szCs w:val="21"/>
                <w:lang w:val="en-US" w:eastAsia="zh-CN" w:bidi="ar-SA"/>
              </w:rPr>
            </w:pPr>
            <w:r>
              <w:rPr>
                <w:rFonts w:hint="eastAsia" w:cs="宋体"/>
                <w:kern w:val="0"/>
                <w:szCs w:val="21"/>
              </w:rPr>
              <w:t>主要施工人员</w:t>
            </w:r>
          </w:p>
        </w:tc>
        <w:tc>
          <w:tcPr>
            <w:tcW w:w="1691" w:type="dxa"/>
            <w:tcBorders>
              <w:top w:val="single" w:color="000000" w:themeColor="text1" w:sz="8" w:space="0"/>
            </w:tcBorders>
            <w:vAlign w:val="center"/>
          </w:tcPr>
          <w:p>
            <w:pPr>
              <w:widowControl/>
              <w:rPr>
                <w:rFonts w:hint="eastAsia" w:cs="宋体" w:asciiTheme="minorHAnsi" w:hAnsiTheme="minorHAnsi" w:eastAsiaTheme="minorEastAsia"/>
                <w:kern w:val="0"/>
                <w:sz w:val="21"/>
                <w:szCs w:val="21"/>
                <w:lang w:val="en-US" w:eastAsia="zh-CN" w:bidi="ar-SA"/>
              </w:rPr>
            </w:pPr>
            <w:r>
              <w:rPr>
                <w:rFonts w:hint="eastAsia" w:cs="宋体"/>
                <w:kern w:val="0"/>
                <w:szCs w:val="21"/>
              </w:rPr>
              <w:t>可能接触的职业病危害因素</w:t>
            </w:r>
          </w:p>
        </w:tc>
        <w:tc>
          <w:tcPr>
            <w:tcW w:w="7574" w:type="dxa"/>
            <w:tcBorders>
              <w:top w:val="single" w:color="000000" w:themeColor="text1" w:sz="8" w:space="0"/>
            </w:tcBorders>
            <w:vAlign w:val="center"/>
          </w:tcPr>
          <w:p>
            <w:pPr>
              <w:widowControl/>
              <w:jc w:val="center"/>
              <w:rPr>
                <w:rFonts w:hint="eastAsia" w:cs="宋体" w:asciiTheme="minorHAnsi" w:hAnsiTheme="minorHAnsi" w:eastAsiaTheme="minorEastAsia"/>
                <w:kern w:val="0"/>
                <w:sz w:val="21"/>
                <w:szCs w:val="21"/>
                <w:lang w:val="en-US" w:eastAsia="zh-CN" w:bidi="ar-SA"/>
              </w:rPr>
            </w:pPr>
            <w:r>
              <w:rPr>
                <w:rFonts w:hint="eastAsia" w:cs="宋体"/>
                <w:kern w:val="0"/>
                <w:szCs w:val="21"/>
              </w:rPr>
              <w:t>主要职业病危害防护措施</w:t>
            </w:r>
          </w:p>
        </w:tc>
        <w:tc>
          <w:tcPr>
            <w:tcW w:w="1792" w:type="dxa"/>
            <w:tcBorders>
              <w:top w:val="single" w:color="000000" w:themeColor="text1" w:sz="8" w:space="0"/>
              <w:right w:val="single" w:color="000000" w:themeColor="text1" w:sz="8" w:space="0"/>
            </w:tcBorders>
            <w:vAlign w:val="center"/>
          </w:tcPr>
          <w:p>
            <w:pPr>
              <w:widowControl/>
              <w:rPr>
                <w:rFonts w:hint="eastAsia" w:cs="宋体" w:asciiTheme="minorHAnsi" w:hAnsiTheme="minorHAnsi" w:eastAsiaTheme="minorEastAsia"/>
                <w:kern w:val="0"/>
                <w:sz w:val="21"/>
                <w:szCs w:val="21"/>
                <w:lang w:val="en-US" w:eastAsia="zh-CN" w:bidi="ar-SA"/>
              </w:rPr>
            </w:pPr>
            <w:r>
              <w:rPr>
                <w:rFonts w:hint="eastAsia" w:cs="宋体"/>
                <w:kern w:val="0"/>
                <w:szCs w:val="21"/>
              </w:rPr>
              <w:t>个人防护用品配备参考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vMerge w:val="restart"/>
            <w:tcBorders>
              <w:left w:val="single" w:color="000000" w:themeColor="text1" w:sz="8" w:space="0"/>
            </w:tcBorders>
            <w:vAlign w:val="center"/>
          </w:tcPr>
          <w:p>
            <w:pPr>
              <w:widowControl/>
              <w:jc w:val="center"/>
              <w:rPr>
                <w:rFonts w:cs="宋体"/>
                <w:kern w:val="0"/>
                <w:szCs w:val="21"/>
              </w:rPr>
            </w:pPr>
            <w:r>
              <w:rPr>
                <w:rFonts w:hint="eastAsia" w:cs="宋体"/>
                <w:kern w:val="0"/>
                <w:szCs w:val="21"/>
              </w:rPr>
              <w:t>通用</w:t>
            </w:r>
          </w:p>
        </w:tc>
        <w:tc>
          <w:tcPr>
            <w:tcW w:w="1778" w:type="dxa"/>
            <w:vAlign w:val="center"/>
          </w:tcPr>
          <w:p>
            <w:pPr>
              <w:widowControl/>
              <w:jc w:val="center"/>
              <w:rPr>
                <w:rFonts w:cs="宋体"/>
                <w:kern w:val="0"/>
                <w:szCs w:val="21"/>
              </w:rPr>
            </w:pPr>
            <w:r>
              <w:rPr>
                <w:rFonts w:hint="eastAsia" w:cs="宋体"/>
                <w:kern w:val="0"/>
                <w:szCs w:val="21"/>
              </w:rPr>
              <w:t>钢筋工</w:t>
            </w:r>
          </w:p>
        </w:tc>
        <w:tc>
          <w:tcPr>
            <w:tcW w:w="1691" w:type="dxa"/>
            <w:vAlign w:val="center"/>
          </w:tcPr>
          <w:p>
            <w:pPr>
              <w:widowControl/>
              <w:rPr>
                <w:rFonts w:cs="宋体"/>
                <w:kern w:val="0"/>
                <w:szCs w:val="21"/>
              </w:rPr>
            </w:pPr>
            <w:r>
              <w:rPr>
                <w:rFonts w:hint="eastAsia" w:cs="宋体"/>
                <w:kern w:val="0"/>
                <w:szCs w:val="21"/>
              </w:rPr>
              <w:t>噪声、（金属）粉尘</w:t>
            </w:r>
          </w:p>
        </w:tc>
        <w:tc>
          <w:tcPr>
            <w:tcW w:w="7574" w:type="dxa"/>
            <w:vAlign w:val="center"/>
          </w:tcPr>
          <w:p>
            <w:pPr>
              <w:widowControl/>
              <w:rPr>
                <w:rFonts w:cs="宋体"/>
                <w:kern w:val="0"/>
                <w:szCs w:val="21"/>
              </w:rPr>
            </w:pPr>
            <w:r>
              <w:rPr>
                <w:rFonts w:hint="eastAsia" w:cs="宋体"/>
                <w:b/>
                <w:kern w:val="0"/>
                <w:szCs w:val="21"/>
              </w:rPr>
              <w:t>防噪措施：</w:t>
            </w:r>
            <w:r>
              <w:rPr>
                <w:rFonts w:hint="eastAsia" w:cs="宋体"/>
                <w:kern w:val="0"/>
                <w:szCs w:val="21"/>
              </w:rPr>
              <w:t>（1）宜选用低噪声施工设备和施工工艺代替高噪声施工设备和施工工艺；（2）高噪声生产设备应采取技术措施后，远离作业人员；（3）尽可能减少高噪声设备作业点的密度；（4）强噪声气体动力结构的进排气口为敞开时，应在适当位置设置消声器；（5）从工艺和技术上难以消除或减少高噪声源，应严格限制接触时间。</w:t>
            </w:r>
          </w:p>
          <w:p>
            <w:pPr>
              <w:widowControl/>
              <w:rPr>
                <w:rFonts w:cs="宋体"/>
                <w:kern w:val="0"/>
                <w:szCs w:val="21"/>
              </w:rPr>
            </w:pPr>
            <w:r>
              <w:rPr>
                <w:rFonts w:hint="eastAsia" w:cs="宋体"/>
                <w:b/>
                <w:kern w:val="0"/>
                <w:szCs w:val="21"/>
              </w:rPr>
              <w:t>防尘措施：</w:t>
            </w:r>
            <w:r>
              <w:rPr>
                <w:rFonts w:hint="eastAsia" w:cs="宋体"/>
                <w:kern w:val="0"/>
                <w:szCs w:val="21"/>
              </w:rPr>
              <w:t>（1）采用局部抽风除尘的木加工设备；（2）作业时应在上风向操作。</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耳塞或耳罩、防尘口罩（KN95）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9" w:hRule="atLeast"/>
          <w:jc w:val="center"/>
        </w:trPr>
        <w:tc>
          <w:tcPr>
            <w:tcW w:w="1777" w:type="dxa"/>
            <w:vMerge w:val="continue"/>
            <w:tcBorders>
              <w:left w:val="single" w:color="000000" w:themeColor="text1" w:sz="8" w:space="0"/>
            </w:tcBorders>
            <w:vAlign w:val="center"/>
          </w:tcPr>
          <w:p>
            <w:pPr>
              <w:widowControl/>
              <w:jc w:val="center"/>
              <w:rPr>
                <w:rFonts w:cs="宋体"/>
                <w:kern w:val="0"/>
                <w:szCs w:val="21"/>
              </w:rPr>
            </w:pPr>
          </w:p>
        </w:tc>
        <w:tc>
          <w:tcPr>
            <w:tcW w:w="1778" w:type="dxa"/>
            <w:vAlign w:val="center"/>
          </w:tcPr>
          <w:p>
            <w:pPr>
              <w:widowControl/>
              <w:jc w:val="center"/>
              <w:rPr>
                <w:rFonts w:cs="宋体"/>
                <w:kern w:val="0"/>
                <w:szCs w:val="21"/>
              </w:rPr>
            </w:pPr>
            <w:r>
              <w:rPr>
                <w:rFonts w:hint="eastAsia" w:cs="宋体"/>
                <w:kern w:val="0"/>
                <w:szCs w:val="21"/>
              </w:rPr>
              <w:t>混凝土工</w:t>
            </w:r>
          </w:p>
        </w:tc>
        <w:tc>
          <w:tcPr>
            <w:tcW w:w="1691" w:type="dxa"/>
            <w:vAlign w:val="center"/>
          </w:tcPr>
          <w:p>
            <w:pPr>
              <w:widowControl/>
              <w:rPr>
                <w:rFonts w:cs="宋体"/>
                <w:kern w:val="0"/>
                <w:szCs w:val="21"/>
              </w:rPr>
            </w:pPr>
            <w:r>
              <w:rPr>
                <w:rFonts w:hint="eastAsia" w:cs="宋体"/>
                <w:kern w:val="0"/>
                <w:szCs w:val="21"/>
              </w:rPr>
              <w:t>噪声、粉尘</w:t>
            </w:r>
          </w:p>
        </w:tc>
        <w:tc>
          <w:tcPr>
            <w:tcW w:w="7574" w:type="dxa"/>
            <w:vAlign w:val="center"/>
          </w:tcPr>
          <w:p>
            <w:pPr>
              <w:widowControl/>
              <w:rPr>
                <w:rFonts w:cs="宋体"/>
                <w:b/>
                <w:kern w:val="0"/>
                <w:szCs w:val="21"/>
              </w:rPr>
            </w:pPr>
            <w:r>
              <w:rPr>
                <w:rFonts w:hint="eastAsia" w:cs="宋体"/>
                <w:b/>
                <w:kern w:val="0"/>
                <w:szCs w:val="21"/>
              </w:rPr>
              <w:t>防噪措施：</w:t>
            </w:r>
            <w:r>
              <w:rPr>
                <w:rFonts w:hint="eastAsia" w:cs="宋体"/>
                <w:kern w:val="0"/>
                <w:szCs w:val="21"/>
              </w:rPr>
              <w:t>（1）宜选用低噪声施工设备和施工工艺代替高噪声施工设备和施工工艺；（2）尽可能减少高噪声设备作业点的密度；（3）从工艺和技术上难以消除或减少高噪声源，应严格限制接触时间。</w:t>
            </w:r>
          </w:p>
          <w:p>
            <w:pPr>
              <w:widowControl/>
              <w:rPr>
                <w:rFonts w:cs="宋体"/>
                <w:kern w:val="0"/>
                <w:szCs w:val="21"/>
              </w:rPr>
            </w:pPr>
            <w:r>
              <w:rPr>
                <w:rFonts w:hint="eastAsia" w:cs="宋体"/>
                <w:b/>
                <w:kern w:val="0"/>
                <w:szCs w:val="21"/>
              </w:rPr>
              <w:t>防尘措施：</w:t>
            </w:r>
            <w:r>
              <w:rPr>
                <w:rFonts w:hint="eastAsia" w:cs="宋体"/>
                <w:kern w:val="0"/>
                <w:szCs w:val="21"/>
              </w:rPr>
              <w:t>（1）采用无危害或危害较小的建筑材料。如不使用石棉、含有石棉的建筑材料；喷射混凝土采用湿喷；（2）宜采用全封闭式搅拌；无法封闭的搅拌机应设置在半封闭机房内，且上料上部应设置喷淋设施；（3）作业时应在上风向操作；（4）散装水泥应在密闭的水泥罐中贮存，并设置防尘措施；（5）砂、石材料堆放场地应设置围挡围护，并应覆盖。</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耳塞或耳罩、防尘口罩（KN90）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vMerge w:val="continue"/>
            <w:tcBorders>
              <w:left w:val="single" w:color="000000" w:themeColor="text1" w:sz="8" w:space="0"/>
            </w:tcBorders>
            <w:vAlign w:val="center"/>
          </w:tcPr>
          <w:p>
            <w:pPr>
              <w:widowControl/>
              <w:jc w:val="center"/>
              <w:rPr>
                <w:rFonts w:cs="宋体"/>
                <w:kern w:val="0"/>
                <w:szCs w:val="21"/>
              </w:rPr>
            </w:pPr>
          </w:p>
        </w:tc>
        <w:tc>
          <w:tcPr>
            <w:tcW w:w="1778" w:type="dxa"/>
            <w:vAlign w:val="center"/>
          </w:tcPr>
          <w:p>
            <w:pPr>
              <w:widowControl/>
              <w:jc w:val="center"/>
              <w:rPr>
                <w:rFonts w:cs="宋体"/>
                <w:kern w:val="0"/>
                <w:szCs w:val="21"/>
              </w:rPr>
            </w:pPr>
            <w:r>
              <w:rPr>
                <w:rFonts w:hint="eastAsia" w:cs="宋体"/>
                <w:kern w:val="0"/>
                <w:szCs w:val="21"/>
              </w:rPr>
              <w:t>木工</w:t>
            </w:r>
          </w:p>
        </w:tc>
        <w:tc>
          <w:tcPr>
            <w:tcW w:w="1691" w:type="dxa"/>
            <w:vAlign w:val="center"/>
          </w:tcPr>
          <w:p>
            <w:pPr>
              <w:widowControl/>
              <w:rPr>
                <w:rFonts w:cs="宋体"/>
                <w:kern w:val="0"/>
                <w:szCs w:val="21"/>
              </w:rPr>
            </w:pPr>
            <w:r>
              <w:rPr>
                <w:rFonts w:hint="eastAsia" w:cs="宋体"/>
                <w:kern w:val="0"/>
                <w:szCs w:val="21"/>
              </w:rPr>
              <w:t>噪声、木粉尘、甲醛</w:t>
            </w:r>
          </w:p>
        </w:tc>
        <w:tc>
          <w:tcPr>
            <w:tcW w:w="7574" w:type="dxa"/>
            <w:vAlign w:val="center"/>
          </w:tcPr>
          <w:p>
            <w:pPr>
              <w:widowControl/>
              <w:rPr>
                <w:rFonts w:cs="宋体"/>
                <w:b/>
                <w:kern w:val="0"/>
                <w:szCs w:val="21"/>
              </w:rPr>
            </w:pPr>
            <w:r>
              <w:rPr>
                <w:rFonts w:hint="eastAsia" w:cs="宋体"/>
                <w:b/>
                <w:kern w:val="0"/>
                <w:szCs w:val="21"/>
              </w:rPr>
              <w:t>防噪措施：</w:t>
            </w:r>
            <w:r>
              <w:rPr>
                <w:rFonts w:hint="eastAsia" w:cs="宋体"/>
                <w:kern w:val="0"/>
                <w:szCs w:val="21"/>
              </w:rPr>
              <w:t>（1）宜选用低噪声施工设备和施工工艺代替高噪声施工设备和施工工艺；（2）尽可能减少高噪声设备作业点的密度；（3）切割机、刨面机等高噪声设备采取铺设吸声材料、增加减振基础、设置隔声间；（4）从工艺和技术上难以消除或减少高噪声源，应严格限制接触时间。</w:t>
            </w:r>
          </w:p>
          <w:p>
            <w:pPr>
              <w:widowControl/>
              <w:rPr>
                <w:rFonts w:cs="宋体"/>
                <w:b/>
                <w:kern w:val="0"/>
                <w:szCs w:val="21"/>
              </w:rPr>
            </w:pPr>
            <w:r>
              <w:rPr>
                <w:rFonts w:hint="eastAsia" w:cs="宋体"/>
                <w:b/>
                <w:kern w:val="0"/>
                <w:szCs w:val="21"/>
              </w:rPr>
              <w:t>防尘、防毒措施：</w:t>
            </w:r>
            <w:r>
              <w:rPr>
                <w:rFonts w:hint="eastAsia" w:cs="宋体"/>
                <w:kern w:val="0"/>
                <w:szCs w:val="21"/>
              </w:rPr>
              <w:t>（1）采用无危害或危害较小的建筑材料。如不使用含有甲醛的建筑材料；（2）采用局部抽风除尘的木加工设备；（3）作业时应在上风向操作。</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耳塞或耳罩、自吸过滤式防尘毒面罩（KP95）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vMerge w:val="continue"/>
            <w:tcBorders>
              <w:left w:val="single" w:color="000000" w:themeColor="text1" w:sz="8" w:space="0"/>
            </w:tcBorders>
            <w:vAlign w:val="center"/>
          </w:tcPr>
          <w:p>
            <w:pPr>
              <w:widowControl/>
              <w:jc w:val="center"/>
              <w:rPr>
                <w:rFonts w:cs="宋体"/>
                <w:kern w:val="0"/>
                <w:szCs w:val="21"/>
              </w:rPr>
            </w:pPr>
          </w:p>
        </w:tc>
        <w:tc>
          <w:tcPr>
            <w:tcW w:w="1778" w:type="dxa"/>
            <w:vAlign w:val="center"/>
          </w:tcPr>
          <w:p>
            <w:pPr>
              <w:widowControl/>
              <w:jc w:val="center"/>
              <w:rPr>
                <w:rFonts w:cs="宋体"/>
                <w:kern w:val="0"/>
                <w:szCs w:val="21"/>
              </w:rPr>
            </w:pPr>
            <w:r>
              <w:rPr>
                <w:rFonts w:hint="eastAsia" w:cs="宋体"/>
                <w:kern w:val="0"/>
                <w:szCs w:val="21"/>
              </w:rPr>
              <w:t>建筑电工</w:t>
            </w:r>
          </w:p>
        </w:tc>
        <w:tc>
          <w:tcPr>
            <w:tcW w:w="1691" w:type="dxa"/>
            <w:vAlign w:val="center"/>
          </w:tcPr>
          <w:p>
            <w:pPr>
              <w:widowControl/>
              <w:rPr>
                <w:rFonts w:cs="宋体"/>
                <w:kern w:val="0"/>
                <w:szCs w:val="21"/>
              </w:rPr>
            </w:pPr>
            <w:r>
              <w:rPr>
                <w:rFonts w:hint="eastAsia" w:cs="宋体"/>
                <w:kern w:val="0"/>
                <w:szCs w:val="21"/>
              </w:rPr>
              <w:t>噪声、工频电磁场</w:t>
            </w:r>
          </w:p>
        </w:tc>
        <w:tc>
          <w:tcPr>
            <w:tcW w:w="7574" w:type="dxa"/>
            <w:vAlign w:val="center"/>
          </w:tcPr>
          <w:p>
            <w:pPr>
              <w:widowControl/>
              <w:rPr>
                <w:rFonts w:cs="宋体"/>
                <w:b/>
                <w:kern w:val="0"/>
                <w:szCs w:val="21"/>
              </w:rPr>
            </w:pPr>
            <w:r>
              <w:rPr>
                <w:rFonts w:hint="eastAsia" w:cs="宋体"/>
                <w:b/>
                <w:kern w:val="0"/>
                <w:szCs w:val="21"/>
              </w:rPr>
              <w:t>防噪措施：</w:t>
            </w:r>
            <w:r>
              <w:rPr>
                <w:rFonts w:hint="eastAsia" w:cs="宋体"/>
                <w:kern w:val="0"/>
                <w:szCs w:val="21"/>
              </w:rPr>
              <w:t>（1）宜选用低噪声施工设备和施工工艺代替高噪声施工设备和施工工艺；（2）尽可能减少高噪声设备作业点的密度；（3）强噪声气体动力结构的进排气口为敞开时，应在适当位置设置消声器；（4）从工艺和技术上难以消除或减少高噪声源，应严格限制接触时间。</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耳塞或耳罩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vMerge w:val="continue"/>
            <w:tcBorders>
              <w:left w:val="single" w:color="000000" w:themeColor="text1" w:sz="8" w:space="0"/>
            </w:tcBorders>
            <w:vAlign w:val="center"/>
          </w:tcPr>
          <w:p>
            <w:pPr>
              <w:widowControl/>
              <w:jc w:val="center"/>
              <w:rPr>
                <w:rFonts w:cs="宋体"/>
                <w:kern w:val="0"/>
                <w:szCs w:val="21"/>
              </w:rPr>
            </w:pPr>
          </w:p>
        </w:tc>
        <w:tc>
          <w:tcPr>
            <w:tcW w:w="1778" w:type="dxa"/>
            <w:vAlign w:val="center"/>
          </w:tcPr>
          <w:p>
            <w:pPr>
              <w:widowControl/>
              <w:jc w:val="center"/>
              <w:rPr>
                <w:rFonts w:cs="宋体"/>
                <w:kern w:val="0"/>
                <w:szCs w:val="21"/>
              </w:rPr>
            </w:pPr>
            <w:r>
              <w:rPr>
                <w:rFonts w:hint="eastAsia" w:cs="宋体"/>
                <w:kern w:val="0"/>
                <w:szCs w:val="21"/>
              </w:rPr>
              <w:t>防水工</w:t>
            </w:r>
          </w:p>
        </w:tc>
        <w:tc>
          <w:tcPr>
            <w:tcW w:w="1691" w:type="dxa"/>
            <w:vAlign w:val="center"/>
          </w:tcPr>
          <w:p>
            <w:pPr>
              <w:widowControl/>
              <w:rPr>
                <w:rFonts w:cs="宋体"/>
                <w:kern w:val="0"/>
                <w:szCs w:val="21"/>
              </w:rPr>
            </w:pPr>
            <w:r>
              <w:rPr>
                <w:rFonts w:hint="eastAsia" w:cs="宋体"/>
                <w:kern w:val="0"/>
                <w:szCs w:val="21"/>
              </w:rPr>
              <w:t>沥青烟、煤焦油、甲苯、二甲苯、汽油等有机溶剂、石棉</w:t>
            </w:r>
          </w:p>
        </w:tc>
        <w:tc>
          <w:tcPr>
            <w:tcW w:w="7574" w:type="dxa"/>
            <w:vAlign w:val="center"/>
          </w:tcPr>
          <w:p>
            <w:pPr>
              <w:widowControl/>
              <w:rPr>
                <w:rFonts w:cs="宋体"/>
                <w:b/>
                <w:kern w:val="0"/>
                <w:szCs w:val="21"/>
              </w:rPr>
            </w:pPr>
            <w:r>
              <w:rPr>
                <w:rFonts w:hint="eastAsia" w:cs="宋体"/>
                <w:b/>
                <w:szCs w:val="21"/>
              </w:rPr>
              <w:t>防毒措施：</w:t>
            </w:r>
            <w:r>
              <w:rPr>
                <w:rFonts w:hint="eastAsia" w:cs="宋体"/>
                <w:szCs w:val="21"/>
              </w:rPr>
              <w:t>（1）涂饰材料应存放在专用库房内，且库房内应阴凉、干燥、通风良好；（2）分装和配置油漆、防腐、防水材料等挥发性有毒材料时，尽可能采用露天作业，并注意现场通风；（3）工作完毕后，有机溶剂、涂料容器应及时加盖封严；（4）使用过的有机溶剂和其他化学品应进行回收处理，防治乱丢乱弃；（5）建立领、发料制度，施工现场存放的涂料和稀释剂应不超过当班用量。</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自吸过滤式防尘毒面罩（KP95）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vMerge w:val="continue"/>
            <w:tcBorders>
              <w:left w:val="single" w:color="000000" w:themeColor="text1" w:sz="8" w:space="0"/>
            </w:tcBorders>
            <w:vAlign w:val="center"/>
          </w:tcPr>
          <w:p>
            <w:pPr>
              <w:widowControl/>
              <w:jc w:val="center"/>
              <w:rPr>
                <w:rFonts w:cs="宋体"/>
                <w:kern w:val="0"/>
                <w:szCs w:val="21"/>
              </w:rPr>
            </w:pPr>
          </w:p>
        </w:tc>
        <w:tc>
          <w:tcPr>
            <w:tcW w:w="1778" w:type="dxa"/>
            <w:vAlign w:val="center"/>
          </w:tcPr>
          <w:p>
            <w:pPr>
              <w:widowControl/>
              <w:jc w:val="center"/>
              <w:rPr>
                <w:rFonts w:cs="宋体"/>
                <w:kern w:val="0"/>
                <w:szCs w:val="21"/>
              </w:rPr>
            </w:pPr>
            <w:r>
              <w:rPr>
                <w:rFonts w:hint="eastAsia" w:cs="宋体"/>
                <w:kern w:val="0"/>
                <w:szCs w:val="21"/>
              </w:rPr>
              <w:t>焊工</w:t>
            </w:r>
          </w:p>
        </w:tc>
        <w:tc>
          <w:tcPr>
            <w:tcW w:w="1691" w:type="dxa"/>
            <w:vAlign w:val="center"/>
          </w:tcPr>
          <w:p>
            <w:pPr>
              <w:widowControl/>
              <w:rPr>
                <w:rFonts w:cs="宋体"/>
                <w:kern w:val="0"/>
                <w:szCs w:val="21"/>
              </w:rPr>
            </w:pPr>
            <w:r>
              <w:rPr>
                <w:rFonts w:hint="eastAsia" w:cs="宋体"/>
                <w:kern w:val="0"/>
                <w:szCs w:val="21"/>
              </w:rPr>
              <w:t>电焊烟尘、锰及其化合物、一氧化碳、氮氧化物、臭氧、紫外线</w:t>
            </w:r>
          </w:p>
        </w:tc>
        <w:tc>
          <w:tcPr>
            <w:tcW w:w="7574" w:type="dxa"/>
            <w:vAlign w:val="center"/>
          </w:tcPr>
          <w:p>
            <w:pPr>
              <w:widowControl/>
              <w:rPr>
                <w:szCs w:val="21"/>
              </w:rPr>
            </w:pPr>
            <w:r>
              <w:rPr>
                <w:rFonts w:hint="eastAsia" w:cs="宋体"/>
                <w:b/>
                <w:kern w:val="0"/>
                <w:szCs w:val="21"/>
              </w:rPr>
              <w:t>防紫外线措施：</w:t>
            </w:r>
            <w:r>
              <w:rPr>
                <w:rFonts w:hint="eastAsia"/>
                <w:szCs w:val="21"/>
              </w:rPr>
              <w:t>（1）优先采用自动或半自动焊接设备；（2）电焊工必须佩带专用面罩、防护眼镜，以及有效的防护服和手套；（6）产生紫外线的施工现场应当使用不透明或半透明的挡板将该区域与 其他施工区域分割，禁止无关人员进入操作区域。</w:t>
            </w:r>
          </w:p>
          <w:p>
            <w:pPr>
              <w:widowControl/>
              <w:rPr>
                <w:rFonts w:cs="宋体"/>
                <w:b/>
                <w:kern w:val="0"/>
                <w:szCs w:val="21"/>
              </w:rPr>
            </w:pPr>
            <w:r>
              <w:rPr>
                <w:rFonts w:hint="eastAsia" w:cs="宋体"/>
                <w:b/>
                <w:kern w:val="0"/>
                <w:szCs w:val="21"/>
              </w:rPr>
              <w:t>防毒尘措施：</w:t>
            </w:r>
            <w:r>
              <w:rPr>
                <w:rFonts w:hint="eastAsia"/>
                <w:szCs w:val="21"/>
              </w:rPr>
              <w:t>（1）优先采用无毒建筑材料，用无毒材料替代有毒材料、低毒材料替代高毒材料；如低锰焊条；（2）优先采用自动或半自动焊接设备；（3）电焊作业时，设置局部通风除尘装置；（4）有限空间作业应当设置通风设施，保证足够的新风量。</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自吸过滤式防颗粒物呼吸器（KN95）、焊接眼护具、焊接防护服、焊工手套、焊接防护鞋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vMerge w:val="continue"/>
            <w:tcBorders>
              <w:left w:val="single" w:color="000000" w:themeColor="text1" w:sz="8" w:space="0"/>
            </w:tcBorders>
            <w:vAlign w:val="center"/>
          </w:tcPr>
          <w:p>
            <w:pPr>
              <w:widowControl/>
              <w:jc w:val="center"/>
              <w:rPr>
                <w:rFonts w:cs="宋体"/>
                <w:kern w:val="0"/>
                <w:szCs w:val="21"/>
              </w:rPr>
            </w:pPr>
          </w:p>
        </w:tc>
        <w:tc>
          <w:tcPr>
            <w:tcW w:w="1778" w:type="dxa"/>
            <w:vAlign w:val="center"/>
          </w:tcPr>
          <w:p>
            <w:pPr>
              <w:widowControl/>
              <w:jc w:val="center"/>
              <w:rPr>
                <w:rFonts w:cs="宋体"/>
                <w:kern w:val="0"/>
                <w:szCs w:val="21"/>
              </w:rPr>
            </w:pPr>
            <w:r>
              <w:rPr>
                <w:rFonts w:hint="eastAsia" w:cs="宋体"/>
                <w:kern w:val="0"/>
                <w:szCs w:val="21"/>
              </w:rPr>
              <w:t>石工、普工</w:t>
            </w:r>
          </w:p>
        </w:tc>
        <w:tc>
          <w:tcPr>
            <w:tcW w:w="1691" w:type="dxa"/>
            <w:vAlign w:val="center"/>
          </w:tcPr>
          <w:p>
            <w:pPr>
              <w:widowControl/>
              <w:rPr>
                <w:rFonts w:cs="宋体"/>
                <w:kern w:val="0"/>
                <w:szCs w:val="21"/>
              </w:rPr>
            </w:pPr>
            <w:r>
              <w:rPr>
                <w:rFonts w:hint="eastAsia" w:cs="宋体"/>
                <w:kern w:val="0"/>
                <w:szCs w:val="21"/>
              </w:rPr>
              <w:t>噪声、振动、粉尘</w:t>
            </w:r>
          </w:p>
        </w:tc>
        <w:tc>
          <w:tcPr>
            <w:tcW w:w="7574" w:type="dxa"/>
            <w:vAlign w:val="center"/>
          </w:tcPr>
          <w:p>
            <w:pPr>
              <w:widowControl/>
              <w:rPr>
                <w:rFonts w:cs="宋体"/>
                <w:kern w:val="0"/>
                <w:szCs w:val="21"/>
              </w:rPr>
            </w:pPr>
            <w:r>
              <w:rPr>
                <w:rFonts w:hint="eastAsia" w:cs="宋体"/>
                <w:b/>
                <w:kern w:val="0"/>
                <w:szCs w:val="21"/>
              </w:rPr>
              <w:t>防噪、防振措施：</w:t>
            </w:r>
            <w:r>
              <w:rPr>
                <w:rFonts w:hint="eastAsia" w:cs="宋体"/>
                <w:kern w:val="0"/>
                <w:szCs w:val="21"/>
              </w:rPr>
              <w:t>（1）宜选用低噪声施工设备和施工工艺代替高噪声施工设备和施工工艺；（2）高噪声生产设备应采取技术措施后，远离作业人员；（3）尽可能减少高噪声设备作业点的密度；（4）强噪声气体动力结构的进排气口为敞开时，应在适当位置设置消声器；（5）从工艺和技术上难以消除或减少高噪声源，应严格限制接触时间。</w:t>
            </w:r>
          </w:p>
          <w:p>
            <w:pPr>
              <w:widowControl/>
              <w:rPr>
                <w:rFonts w:cs="宋体"/>
                <w:b/>
                <w:kern w:val="0"/>
                <w:szCs w:val="21"/>
              </w:rPr>
            </w:pPr>
            <w:r>
              <w:rPr>
                <w:rFonts w:hint="eastAsia" w:cs="宋体"/>
                <w:b/>
                <w:kern w:val="0"/>
                <w:szCs w:val="21"/>
              </w:rPr>
              <w:t>防尘措施：</w:t>
            </w:r>
            <w:r>
              <w:rPr>
                <w:rFonts w:hint="eastAsia" w:cs="宋体"/>
                <w:kern w:val="0"/>
                <w:szCs w:val="21"/>
              </w:rPr>
              <w:t>（1）采用无危害或危害较小的建筑材料。如不使用石棉、含有石棉的建筑材料；（2）采用湿式切割、砌筑；（3）作业时应在上风向操作；（4）散装水泥应在密闭的水泥罐中贮存，并设置防尘措施；（5）砂、石材料堆放场地应设置围挡围护，并应覆盖。</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耳塞或耳罩、防尘口罩（KN90）、减振手套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vMerge w:val="restart"/>
            <w:tcBorders>
              <w:left w:val="single" w:color="000000" w:themeColor="text1" w:sz="8" w:space="0"/>
            </w:tcBorders>
            <w:vAlign w:val="center"/>
          </w:tcPr>
          <w:p>
            <w:pPr>
              <w:widowControl/>
              <w:jc w:val="center"/>
              <w:rPr>
                <w:rFonts w:cs="宋体"/>
                <w:kern w:val="0"/>
                <w:szCs w:val="21"/>
              </w:rPr>
            </w:pPr>
            <w:r>
              <w:rPr>
                <w:rFonts w:hint="eastAsia" w:cs="宋体"/>
                <w:kern w:val="0"/>
                <w:szCs w:val="21"/>
              </w:rPr>
              <w:t>房建</w:t>
            </w:r>
          </w:p>
        </w:tc>
        <w:tc>
          <w:tcPr>
            <w:tcW w:w="1778" w:type="dxa"/>
            <w:vAlign w:val="center"/>
          </w:tcPr>
          <w:p>
            <w:pPr>
              <w:widowControl/>
              <w:jc w:val="center"/>
              <w:rPr>
                <w:rFonts w:cs="宋体"/>
                <w:kern w:val="0"/>
                <w:szCs w:val="21"/>
              </w:rPr>
            </w:pPr>
            <w:r>
              <w:rPr>
                <w:rFonts w:hint="eastAsia" w:cs="宋体"/>
                <w:kern w:val="0"/>
                <w:szCs w:val="21"/>
              </w:rPr>
              <w:t>砌筑工</w:t>
            </w:r>
          </w:p>
        </w:tc>
        <w:tc>
          <w:tcPr>
            <w:tcW w:w="1691" w:type="dxa"/>
            <w:vAlign w:val="center"/>
          </w:tcPr>
          <w:p>
            <w:pPr>
              <w:widowControl/>
              <w:rPr>
                <w:rFonts w:cs="宋体"/>
                <w:kern w:val="0"/>
                <w:szCs w:val="21"/>
              </w:rPr>
            </w:pPr>
            <w:r>
              <w:rPr>
                <w:rFonts w:hint="eastAsia" w:cs="宋体"/>
                <w:kern w:val="0"/>
                <w:szCs w:val="21"/>
              </w:rPr>
              <w:t>粉尘（矽尘）</w:t>
            </w:r>
          </w:p>
        </w:tc>
        <w:tc>
          <w:tcPr>
            <w:tcW w:w="7574" w:type="dxa"/>
            <w:vAlign w:val="center"/>
          </w:tcPr>
          <w:p>
            <w:pPr>
              <w:widowControl/>
              <w:rPr>
                <w:rFonts w:cs="宋体"/>
                <w:b/>
                <w:kern w:val="0"/>
                <w:szCs w:val="21"/>
              </w:rPr>
            </w:pPr>
            <w:r>
              <w:rPr>
                <w:rFonts w:hint="eastAsia" w:cs="宋体"/>
                <w:b/>
                <w:kern w:val="0"/>
                <w:szCs w:val="21"/>
              </w:rPr>
              <w:t>防尘措施：</w:t>
            </w:r>
            <w:r>
              <w:rPr>
                <w:rFonts w:hint="eastAsia" w:cs="宋体"/>
                <w:kern w:val="0"/>
                <w:szCs w:val="21"/>
              </w:rPr>
              <w:t>（1）采用无危害或危害较小的建筑材料。如不使用石棉、含有石棉的建筑材料；（2）采用湿式切割、砌筑；（3）作业时应在上风向操作；（4）散装水泥应在密闭的水泥罐中贮存，并设置防尘措施；（5）砂、石材料堆放场地应设置围挡围护，并应覆盖。</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防尘口罩（KN90）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vMerge w:val="continue"/>
            <w:tcBorders>
              <w:left w:val="single" w:color="000000" w:themeColor="text1" w:sz="8" w:space="0"/>
            </w:tcBorders>
            <w:vAlign w:val="center"/>
          </w:tcPr>
          <w:p>
            <w:pPr>
              <w:widowControl/>
              <w:jc w:val="center"/>
              <w:rPr>
                <w:rFonts w:cs="宋体"/>
                <w:kern w:val="0"/>
                <w:szCs w:val="21"/>
              </w:rPr>
            </w:pPr>
          </w:p>
        </w:tc>
        <w:tc>
          <w:tcPr>
            <w:tcW w:w="1778" w:type="dxa"/>
            <w:vAlign w:val="center"/>
          </w:tcPr>
          <w:p>
            <w:pPr>
              <w:widowControl/>
              <w:jc w:val="center"/>
              <w:rPr>
                <w:rFonts w:cs="宋体"/>
                <w:kern w:val="0"/>
                <w:szCs w:val="21"/>
              </w:rPr>
            </w:pPr>
            <w:r>
              <w:rPr>
                <w:rFonts w:hint="eastAsia" w:cs="宋体"/>
                <w:kern w:val="0"/>
                <w:szCs w:val="21"/>
              </w:rPr>
              <w:t>抹灰工</w:t>
            </w:r>
          </w:p>
        </w:tc>
        <w:tc>
          <w:tcPr>
            <w:tcW w:w="1691" w:type="dxa"/>
            <w:vAlign w:val="center"/>
          </w:tcPr>
          <w:p>
            <w:pPr>
              <w:widowControl/>
              <w:rPr>
                <w:rFonts w:cs="宋体"/>
                <w:kern w:val="0"/>
                <w:szCs w:val="21"/>
              </w:rPr>
            </w:pPr>
            <w:r>
              <w:rPr>
                <w:rFonts w:hint="eastAsia" w:cs="宋体"/>
                <w:kern w:val="0"/>
                <w:szCs w:val="21"/>
              </w:rPr>
              <w:t>噪声、振动、粉尘</w:t>
            </w:r>
          </w:p>
        </w:tc>
        <w:tc>
          <w:tcPr>
            <w:tcW w:w="7574" w:type="dxa"/>
            <w:vAlign w:val="center"/>
          </w:tcPr>
          <w:p>
            <w:pPr>
              <w:widowControl/>
              <w:rPr>
                <w:rFonts w:cs="宋体"/>
                <w:b/>
                <w:kern w:val="0"/>
                <w:szCs w:val="21"/>
              </w:rPr>
            </w:pPr>
            <w:r>
              <w:rPr>
                <w:rFonts w:hint="eastAsia" w:cs="宋体"/>
                <w:b/>
                <w:kern w:val="0"/>
                <w:szCs w:val="21"/>
              </w:rPr>
              <w:t>防噪、防振措施：</w:t>
            </w:r>
            <w:r>
              <w:rPr>
                <w:rFonts w:hint="eastAsia" w:cs="宋体"/>
                <w:kern w:val="0"/>
                <w:szCs w:val="21"/>
              </w:rPr>
              <w:t>（1）宜选用低噪声施工设备和施工工艺代替高噪声施工设备和施工工艺；（2）尽可能减少高噪声设备作业点的密度；（3）强噪声气体动力结构的进排气口为敞开时，应在适当位置设置消声器；（4）从工艺和技术上难以消除或减少高噪声源，应严格限制接触时间。</w:t>
            </w:r>
          </w:p>
          <w:p>
            <w:pPr>
              <w:widowControl/>
              <w:rPr>
                <w:rFonts w:cs="宋体"/>
                <w:b/>
                <w:kern w:val="0"/>
                <w:szCs w:val="21"/>
              </w:rPr>
            </w:pPr>
            <w:r>
              <w:rPr>
                <w:rFonts w:hint="eastAsia" w:cs="宋体"/>
                <w:b/>
                <w:kern w:val="0"/>
                <w:szCs w:val="21"/>
              </w:rPr>
              <w:t>防尘措施：</w:t>
            </w:r>
            <w:r>
              <w:rPr>
                <w:rFonts w:hint="eastAsia" w:cs="宋体"/>
                <w:kern w:val="0"/>
                <w:szCs w:val="21"/>
              </w:rPr>
              <w:t>（1）采用无危害或危害较小的建筑材料。如不使用石棉、含有石棉的建筑材料；（2）采用湿式作业；（3）作业时应在上风向操作；（4）砂、石材料堆放场地应设置围挡围护，并应覆盖。</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耳塞或耳罩、防尘口罩（KN90）、减振手套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vMerge w:val="continue"/>
            <w:tcBorders>
              <w:left w:val="single" w:color="000000" w:themeColor="text1" w:sz="8" w:space="0"/>
            </w:tcBorders>
            <w:vAlign w:val="center"/>
          </w:tcPr>
          <w:p>
            <w:pPr>
              <w:widowControl/>
              <w:jc w:val="center"/>
              <w:rPr>
                <w:rFonts w:cs="宋体"/>
                <w:kern w:val="0"/>
                <w:szCs w:val="21"/>
              </w:rPr>
            </w:pPr>
          </w:p>
        </w:tc>
        <w:tc>
          <w:tcPr>
            <w:tcW w:w="1778" w:type="dxa"/>
            <w:vAlign w:val="center"/>
          </w:tcPr>
          <w:p>
            <w:pPr>
              <w:widowControl/>
              <w:jc w:val="center"/>
              <w:rPr>
                <w:rFonts w:cs="宋体"/>
                <w:kern w:val="0"/>
                <w:szCs w:val="21"/>
              </w:rPr>
            </w:pPr>
            <w:r>
              <w:rPr>
                <w:rFonts w:hint="eastAsia" w:cs="宋体"/>
                <w:kern w:val="0"/>
                <w:szCs w:val="21"/>
              </w:rPr>
              <w:t>幕墙安装工、</w:t>
            </w:r>
          </w:p>
          <w:p>
            <w:pPr>
              <w:widowControl/>
              <w:jc w:val="center"/>
              <w:rPr>
                <w:rFonts w:cs="宋体"/>
                <w:kern w:val="0"/>
                <w:szCs w:val="21"/>
              </w:rPr>
            </w:pPr>
            <w:r>
              <w:rPr>
                <w:rFonts w:hint="eastAsia" w:cs="宋体"/>
                <w:kern w:val="0"/>
                <w:szCs w:val="21"/>
              </w:rPr>
              <w:t>建筑门窗安装工、建筑外墙保温安装工</w:t>
            </w:r>
          </w:p>
        </w:tc>
        <w:tc>
          <w:tcPr>
            <w:tcW w:w="1691" w:type="dxa"/>
            <w:vAlign w:val="center"/>
          </w:tcPr>
          <w:p>
            <w:pPr>
              <w:widowControl/>
              <w:rPr>
                <w:rFonts w:cs="宋体"/>
                <w:kern w:val="0"/>
                <w:szCs w:val="21"/>
              </w:rPr>
            </w:pPr>
            <w:r>
              <w:rPr>
                <w:rFonts w:hint="eastAsia" w:cs="宋体"/>
                <w:kern w:val="0"/>
                <w:szCs w:val="21"/>
              </w:rPr>
              <w:t>噪声、粉尘、化学毒物</w:t>
            </w:r>
          </w:p>
        </w:tc>
        <w:tc>
          <w:tcPr>
            <w:tcW w:w="7574" w:type="dxa"/>
            <w:vAlign w:val="center"/>
          </w:tcPr>
          <w:p>
            <w:pPr>
              <w:widowControl/>
              <w:rPr>
                <w:rFonts w:cs="宋体"/>
                <w:b/>
                <w:kern w:val="0"/>
                <w:szCs w:val="21"/>
              </w:rPr>
            </w:pPr>
            <w:r>
              <w:rPr>
                <w:rFonts w:hint="eastAsia" w:cs="宋体"/>
                <w:b/>
                <w:kern w:val="0"/>
                <w:szCs w:val="21"/>
              </w:rPr>
              <w:t>防噪措施：</w:t>
            </w:r>
            <w:r>
              <w:rPr>
                <w:rFonts w:hint="eastAsia" w:cs="宋体"/>
                <w:kern w:val="0"/>
                <w:szCs w:val="21"/>
              </w:rPr>
              <w:t>（1）宜选用低噪声施工设备和施工工艺代替高噪声施工设备和施工工艺；（2）尽可能减少高噪声设备作业点的密度；（3）强噪声气体动力结构的进排气口为敞开时，应在适当位置设置消声器；（4）从工艺和技术上难以消除或减少高噪声源，应严格限制接触时间。</w:t>
            </w:r>
          </w:p>
          <w:p>
            <w:pPr>
              <w:widowControl/>
              <w:rPr>
                <w:rFonts w:cs="宋体"/>
                <w:b/>
                <w:kern w:val="0"/>
                <w:szCs w:val="21"/>
              </w:rPr>
            </w:pPr>
            <w:r>
              <w:rPr>
                <w:rFonts w:hint="eastAsia" w:cs="宋体"/>
                <w:b/>
                <w:kern w:val="0"/>
                <w:szCs w:val="21"/>
              </w:rPr>
              <w:t>防尘毒措施：</w:t>
            </w:r>
            <w:r>
              <w:rPr>
                <w:rFonts w:hint="eastAsia" w:cs="宋体"/>
                <w:kern w:val="0"/>
                <w:szCs w:val="21"/>
              </w:rPr>
              <w:t>（1）采用无危害或危害较小的建筑材料。如不使用石棉、含有石棉的建筑材料；使用环保的保温涂料；（2）采用湿式作业；（3）作业时应在上风向操作。</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耳塞或耳罩、防尘口罩（KN95）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tcBorders>
              <w:left w:val="single" w:color="000000" w:themeColor="text1" w:sz="8" w:space="0"/>
            </w:tcBorders>
            <w:vAlign w:val="center"/>
          </w:tcPr>
          <w:p>
            <w:pPr>
              <w:widowControl/>
              <w:jc w:val="center"/>
              <w:rPr>
                <w:rFonts w:cs="宋体"/>
                <w:kern w:val="0"/>
                <w:szCs w:val="21"/>
              </w:rPr>
            </w:pPr>
            <w:r>
              <w:rPr>
                <w:rFonts w:hint="eastAsia" w:cs="宋体"/>
                <w:kern w:val="0"/>
                <w:szCs w:val="21"/>
              </w:rPr>
              <w:t>机械</w:t>
            </w:r>
          </w:p>
        </w:tc>
        <w:tc>
          <w:tcPr>
            <w:tcW w:w="1778" w:type="dxa"/>
            <w:vAlign w:val="center"/>
          </w:tcPr>
          <w:p>
            <w:pPr>
              <w:widowControl/>
              <w:jc w:val="center"/>
              <w:rPr>
                <w:rFonts w:cs="宋体"/>
                <w:kern w:val="0"/>
                <w:szCs w:val="21"/>
              </w:rPr>
            </w:pPr>
            <w:r>
              <w:rPr>
                <w:rFonts w:hint="eastAsia" w:cs="宋体"/>
                <w:kern w:val="0"/>
                <w:szCs w:val="21"/>
              </w:rPr>
              <w:t>土石方、起重装卸、压实、桥梁、路面、隧道等工程机械操作工</w:t>
            </w:r>
          </w:p>
        </w:tc>
        <w:tc>
          <w:tcPr>
            <w:tcW w:w="1691" w:type="dxa"/>
            <w:vAlign w:val="center"/>
          </w:tcPr>
          <w:p>
            <w:pPr>
              <w:widowControl/>
              <w:rPr>
                <w:rFonts w:cs="宋体"/>
                <w:kern w:val="0"/>
                <w:szCs w:val="21"/>
              </w:rPr>
            </w:pPr>
            <w:r>
              <w:rPr>
                <w:rFonts w:hint="eastAsia" w:cs="宋体"/>
                <w:kern w:val="0"/>
                <w:szCs w:val="21"/>
              </w:rPr>
              <w:t>噪声、粉尘（矽尘）（驾驶室未密闭时）</w:t>
            </w:r>
          </w:p>
        </w:tc>
        <w:tc>
          <w:tcPr>
            <w:tcW w:w="7574" w:type="dxa"/>
            <w:vAlign w:val="center"/>
          </w:tcPr>
          <w:p>
            <w:pPr>
              <w:widowControl/>
              <w:rPr>
                <w:rFonts w:cs="宋体"/>
                <w:b/>
                <w:kern w:val="0"/>
                <w:szCs w:val="21"/>
              </w:rPr>
            </w:pPr>
            <w:r>
              <w:rPr>
                <w:rFonts w:hint="eastAsia" w:cs="宋体"/>
                <w:b/>
                <w:kern w:val="0"/>
                <w:szCs w:val="21"/>
              </w:rPr>
              <w:t>防尘措施：</w:t>
            </w:r>
            <w:r>
              <w:rPr>
                <w:rFonts w:hint="eastAsia" w:cs="宋体"/>
                <w:kern w:val="0"/>
                <w:szCs w:val="21"/>
              </w:rPr>
              <w:t>（1）进行湿式作业，采取喷雾淋水；（2） 驾驶室或操作室应密闭隔离，定期检维修工程机械的通风设施；（3）作业时应在上风向操作；</w:t>
            </w:r>
            <w:r>
              <w:rPr>
                <w:rFonts w:hint="eastAsia"/>
                <w:szCs w:val="21"/>
              </w:rPr>
              <w:t>（4）运输垃圾渣土的施工运输车辆驶出施工现场时，装载的垃圾渣土高度不应超过车辆槽帮上沿，并用毡布遮盖，车轮应清洗干净；（5）为防止地面起尘，搅拌站区域内的地面应硬化处理。</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出于安全考虑，一般不建议使用耳塞或耳罩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tcBorders>
              <w:left w:val="single" w:color="000000" w:themeColor="text1" w:sz="8" w:space="0"/>
            </w:tcBorders>
            <w:vAlign w:val="center"/>
          </w:tcPr>
          <w:p>
            <w:pPr>
              <w:widowControl/>
              <w:jc w:val="center"/>
              <w:rPr>
                <w:rFonts w:cs="宋体"/>
                <w:kern w:val="0"/>
                <w:szCs w:val="21"/>
              </w:rPr>
            </w:pPr>
            <w:r>
              <w:rPr>
                <w:rFonts w:hint="eastAsia" w:cs="宋体"/>
                <w:kern w:val="0"/>
                <w:szCs w:val="21"/>
              </w:rPr>
              <w:t>安装</w:t>
            </w:r>
          </w:p>
        </w:tc>
        <w:tc>
          <w:tcPr>
            <w:tcW w:w="1778" w:type="dxa"/>
            <w:vAlign w:val="center"/>
          </w:tcPr>
          <w:p>
            <w:pPr>
              <w:widowControl/>
              <w:rPr>
                <w:rFonts w:cs="宋体"/>
                <w:kern w:val="0"/>
                <w:szCs w:val="21"/>
              </w:rPr>
            </w:pPr>
            <w:r>
              <w:rPr>
                <w:rFonts w:hint="eastAsia" w:cs="宋体"/>
                <w:kern w:val="0"/>
                <w:szCs w:val="21"/>
              </w:rPr>
              <w:t>锅炉设备、制冷空调系统等设备安装钳工、管工、调试工、通风工</w:t>
            </w:r>
          </w:p>
        </w:tc>
        <w:tc>
          <w:tcPr>
            <w:tcW w:w="1691" w:type="dxa"/>
            <w:vAlign w:val="center"/>
          </w:tcPr>
          <w:p>
            <w:pPr>
              <w:widowControl/>
              <w:rPr>
                <w:rFonts w:cs="宋体"/>
                <w:kern w:val="0"/>
                <w:szCs w:val="21"/>
              </w:rPr>
            </w:pPr>
            <w:r>
              <w:rPr>
                <w:rFonts w:hint="eastAsia" w:cs="宋体"/>
                <w:kern w:val="0"/>
                <w:szCs w:val="21"/>
              </w:rPr>
              <w:t>噪声、振动</w:t>
            </w:r>
          </w:p>
        </w:tc>
        <w:tc>
          <w:tcPr>
            <w:tcW w:w="7574" w:type="dxa"/>
            <w:vAlign w:val="center"/>
          </w:tcPr>
          <w:p>
            <w:pPr>
              <w:widowControl/>
              <w:rPr>
                <w:rFonts w:cs="宋体"/>
                <w:b/>
                <w:kern w:val="0"/>
                <w:szCs w:val="21"/>
              </w:rPr>
            </w:pPr>
            <w:r>
              <w:rPr>
                <w:rFonts w:hint="eastAsia" w:cs="宋体"/>
                <w:b/>
                <w:kern w:val="0"/>
                <w:szCs w:val="21"/>
              </w:rPr>
              <w:t>防噪措施：</w:t>
            </w:r>
            <w:r>
              <w:rPr>
                <w:rFonts w:hint="eastAsia" w:cs="宋体"/>
                <w:kern w:val="0"/>
                <w:szCs w:val="21"/>
              </w:rPr>
              <w:t>（1）宜选用低噪声施工设备和施工工艺代替高噪声施工设备和施工工艺；（2）尽可能减少高噪声设备作业点的密度；（3）强噪声气体动力结构的进排气口为敞开时，应在适当位置设置消声器；（4）从工艺和技术上难以消除或减少高噪声源，应严格限制接触时间。</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耳塞或耳罩、减振手套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tcBorders>
              <w:left w:val="single" w:color="000000" w:themeColor="text1" w:sz="8" w:space="0"/>
            </w:tcBorders>
            <w:vAlign w:val="center"/>
          </w:tcPr>
          <w:p>
            <w:pPr>
              <w:widowControl/>
              <w:jc w:val="center"/>
              <w:rPr>
                <w:rFonts w:cs="宋体"/>
                <w:kern w:val="0"/>
                <w:szCs w:val="21"/>
              </w:rPr>
            </w:pPr>
            <w:r>
              <w:rPr>
                <w:rFonts w:hint="eastAsia" w:cs="宋体"/>
                <w:kern w:val="0"/>
                <w:szCs w:val="21"/>
              </w:rPr>
              <w:t>装饰装修</w:t>
            </w:r>
          </w:p>
        </w:tc>
        <w:tc>
          <w:tcPr>
            <w:tcW w:w="1778" w:type="dxa"/>
            <w:vAlign w:val="center"/>
          </w:tcPr>
          <w:p>
            <w:pPr>
              <w:widowControl/>
              <w:rPr>
                <w:rFonts w:cs="宋体"/>
                <w:kern w:val="0"/>
                <w:szCs w:val="21"/>
              </w:rPr>
            </w:pPr>
            <w:r>
              <w:rPr>
                <w:rFonts w:hint="eastAsia" w:cs="宋体"/>
                <w:kern w:val="0"/>
                <w:szCs w:val="21"/>
              </w:rPr>
              <w:t>油漆工、镶贴工</w:t>
            </w:r>
          </w:p>
          <w:p>
            <w:pPr>
              <w:widowControl/>
              <w:rPr>
                <w:rFonts w:cs="宋体"/>
                <w:kern w:val="0"/>
                <w:szCs w:val="21"/>
              </w:rPr>
            </w:pPr>
            <w:r>
              <w:rPr>
                <w:rFonts w:hint="eastAsia" w:cs="宋体"/>
                <w:kern w:val="0"/>
                <w:szCs w:val="21"/>
              </w:rPr>
              <w:t>涂裱工、装饰装修木工、金属工</w:t>
            </w:r>
          </w:p>
        </w:tc>
        <w:tc>
          <w:tcPr>
            <w:tcW w:w="1691" w:type="dxa"/>
            <w:vAlign w:val="center"/>
          </w:tcPr>
          <w:p>
            <w:pPr>
              <w:widowControl/>
              <w:rPr>
                <w:rFonts w:cs="宋体"/>
                <w:kern w:val="0"/>
                <w:szCs w:val="21"/>
              </w:rPr>
            </w:pPr>
            <w:r>
              <w:rPr>
                <w:rFonts w:hint="eastAsia" w:cs="宋体"/>
                <w:kern w:val="0"/>
                <w:szCs w:val="21"/>
              </w:rPr>
              <w:t>苯、铅、汞、镉、铬、甲醛、甲苯二异氰酸酯、乙酸乙酯、乙酸丁酯、（金属、木）粉尘</w:t>
            </w:r>
          </w:p>
        </w:tc>
        <w:tc>
          <w:tcPr>
            <w:tcW w:w="7574" w:type="dxa"/>
            <w:vAlign w:val="center"/>
          </w:tcPr>
          <w:p>
            <w:pPr>
              <w:widowControl/>
              <w:rPr>
                <w:rFonts w:cs="宋体"/>
                <w:kern w:val="0"/>
                <w:szCs w:val="21"/>
              </w:rPr>
            </w:pPr>
            <w:r>
              <w:rPr>
                <w:rFonts w:hint="eastAsia" w:cs="宋体"/>
                <w:b/>
                <w:kern w:val="0"/>
                <w:szCs w:val="21"/>
              </w:rPr>
              <w:t>防噪措施：</w:t>
            </w:r>
            <w:r>
              <w:rPr>
                <w:rFonts w:hint="eastAsia" w:cs="宋体"/>
                <w:kern w:val="0"/>
                <w:szCs w:val="21"/>
              </w:rPr>
              <w:t>（1）宜选用低噪声施工设备和施工工艺代替高噪声施工设备和施工工艺；（2）尽可能减少高噪声设备作业点的密度；（3）强噪声气体动力结构的进排气口为敞开时，应在适当位置设置消声器；（4）从工艺和技术上难以消除或减少高噪声源，应严格限制接触时间。</w:t>
            </w:r>
          </w:p>
          <w:p>
            <w:pPr>
              <w:widowControl/>
              <w:rPr>
                <w:rFonts w:cs="宋体"/>
                <w:kern w:val="0"/>
                <w:szCs w:val="21"/>
              </w:rPr>
            </w:pPr>
            <w:r>
              <w:rPr>
                <w:rFonts w:hint="eastAsia" w:cs="宋体"/>
                <w:b/>
                <w:szCs w:val="21"/>
              </w:rPr>
              <w:t>防尘毒措施：</w:t>
            </w:r>
            <w:r>
              <w:rPr>
                <w:rFonts w:hint="eastAsia" w:cs="宋体"/>
                <w:szCs w:val="21"/>
              </w:rPr>
              <w:t>（1）涂饰材料应存放在专用库房内，且库房内应阴凉、干燥、通风良好；（2）分装和配置油漆、防腐、防水材料等挥发性有毒材料时，尽可能采用露天作业，并注意现场通风；（3）工作完毕后，有机溶剂、涂料容器应及时加盖封严；（4）使用过的有机溶剂和其他化学品应进行回收处理，防治乱丢乱弃；（5）</w:t>
            </w:r>
            <w:r>
              <w:rPr>
                <w:rFonts w:hint="eastAsia" w:cs="宋体"/>
                <w:kern w:val="0"/>
                <w:szCs w:val="21"/>
              </w:rPr>
              <w:t>作业时应尽可能在上风向操作；</w:t>
            </w:r>
            <w:r>
              <w:rPr>
                <w:rFonts w:hint="eastAsia" w:cs="宋体"/>
                <w:szCs w:val="21"/>
              </w:rPr>
              <w:t>（6）建立领、发料制度，施工现场存放的涂料和稀释剂应不超过当班用量。</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耳塞或耳罩、自吸过滤式防尘毒面罩（KP95）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vMerge w:val="restart"/>
            <w:tcBorders>
              <w:left w:val="single" w:color="000000" w:themeColor="text1" w:sz="8" w:space="0"/>
            </w:tcBorders>
            <w:vAlign w:val="center"/>
          </w:tcPr>
          <w:p>
            <w:pPr>
              <w:widowControl/>
              <w:jc w:val="center"/>
              <w:rPr>
                <w:rFonts w:cs="宋体"/>
                <w:kern w:val="0"/>
                <w:szCs w:val="21"/>
              </w:rPr>
            </w:pPr>
            <w:r>
              <w:rPr>
                <w:rFonts w:hint="eastAsia" w:cs="宋体"/>
                <w:kern w:val="0"/>
                <w:szCs w:val="21"/>
              </w:rPr>
              <w:t>市政</w:t>
            </w:r>
          </w:p>
        </w:tc>
        <w:tc>
          <w:tcPr>
            <w:tcW w:w="1778" w:type="dxa"/>
            <w:vAlign w:val="center"/>
          </w:tcPr>
          <w:p>
            <w:pPr>
              <w:widowControl/>
              <w:rPr>
                <w:rFonts w:cs="宋体"/>
                <w:kern w:val="0"/>
                <w:szCs w:val="21"/>
              </w:rPr>
            </w:pPr>
            <w:r>
              <w:rPr>
                <w:rFonts w:hint="eastAsia" w:cs="宋体"/>
                <w:kern w:val="0"/>
                <w:szCs w:val="21"/>
              </w:rPr>
              <w:t>爆破工</w:t>
            </w:r>
          </w:p>
        </w:tc>
        <w:tc>
          <w:tcPr>
            <w:tcW w:w="1691" w:type="dxa"/>
            <w:vAlign w:val="center"/>
          </w:tcPr>
          <w:p>
            <w:pPr>
              <w:widowControl/>
              <w:rPr>
                <w:rFonts w:cs="宋体"/>
                <w:kern w:val="0"/>
                <w:szCs w:val="21"/>
              </w:rPr>
            </w:pPr>
            <w:r>
              <w:rPr>
                <w:rFonts w:hint="eastAsia" w:cs="宋体"/>
                <w:kern w:val="0"/>
                <w:szCs w:val="21"/>
              </w:rPr>
              <w:t>噪声、粉尘（矽尘）、氮氧化物、一氧化碳、三硝基甲苯</w:t>
            </w:r>
          </w:p>
        </w:tc>
        <w:tc>
          <w:tcPr>
            <w:tcW w:w="7574" w:type="dxa"/>
            <w:vAlign w:val="center"/>
          </w:tcPr>
          <w:p>
            <w:pPr>
              <w:widowControl/>
              <w:rPr>
                <w:rFonts w:cs="宋体"/>
                <w:kern w:val="0"/>
                <w:szCs w:val="21"/>
              </w:rPr>
            </w:pPr>
            <w:r>
              <w:rPr>
                <w:rFonts w:hint="eastAsia" w:cs="宋体"/>
                <w:b/>
                <w:kern w:val="0"/>
                <w:szCs w:val="21"/>
              </w:rPr>
              <w:t>防噪、防振措施：</w:t>
            </w:r>
            <w:r>
              <w:rPr>
                <w:rFonts w:hint="eastAsia" w:cs="宋体"/>
                <w:kern w:val="0"/>
                <w:szCs w:val="21"/>
              </w:rPr>
              <w:t>保持足够距离进行爆破作业。</w:t>
            </w:r>
          </w:p>
          <w:p>
            <w:pPr>
              <w:widowControl/>
              <w:rPr>
                <w:rFonts w:cs="宋体"/>
                <w:kern w:val="0"/>
                <w:szCs w:val="21"/>
              </w:rPr>
            </w:pPr>
            <w:r>
              <w:rPr>
                <w:rFonts w:hint="eastAsia" w:cs="宋体"/>
                <w:b/>
                <w:kern w:val="0"/>
                <w:szCs w:val="21"/>
              </w:rPr>
              <w:t>防尘毒措施：</w:t>
            </w:r>
            <w:r>
              <w:rPr>
                <w:rFonts w:hint="eastAsia" w:cs="宋体"/>
                <w:kern w:val="0"/>
                <w:szCs w:val="21"/>
              </w:rPr>
              <w:t>（1）对存在可能危及人身安全的设施、装置的施工地点，应用防护结构或围栏进行有效的隔离；（2）当不得不进入缺氧的有限空间作业时，作业时，应采取机械通风；（3）在作业过程中可能突然逸出大量有毒有害物质或易燃易爆化学物质的作业场所，应安装自动报警装置、事故通风设施。</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耳塞或耳罩、自吸过滤式防尘毒面罩（KP95）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vMerge w:val="continue"/>
            <w:tcBorders>
              <w:left w:val="single" w:color="000000" w:themeColor="text1" w:sz="8" w:space="0"/>
            </w:tcBorders>
            <w:vAlign w:val="center"/>
          </w:tcPr>
          <w:p>
            <w:pPr>
              <w:widowControl/>
              <w:jc w:val="center"/>
              <w:rPr>
                <w:rFonts w:cs="宋体"/>
                <w:kern w:val="0"/>
                <w:szCs w:val="21"/>
              </w:rPr>
            </w:pPr>
          </w:p>
        </w:tc>
        <w:tc>
          <w:tcPr>
            <w:tcW w:w="1778" w:type="dxa"/>
            <w:vAlign w:val="center"/>
          </w:tcPr>
          <w:p>
            <w:pPr>
              <w:widowControl/>
              <w:rPr>
                <w:rFonts w:cs="宋体"/>
                <w:kern w:val="0"/>
                <w:szCs w:val="21"/>
              </w:rPr>
            </w:pPr>
            <w:r>
              <w:rPr>
                <w:rFonts w:hint="eastAsia" w:cs="宋体"/>
                <w:kern w:val="0"/>
                <w:szCs w:val="21"/>
              </w:rPr>
              <w:t>人工挖孔桩操作工、涵管顶进操作工</w:t>
            </w:r>
          </w:p>
        </w:tc>
        <w:tc>
          <w:tcPr>
            <w:tcW w:w="1691" w:type="dxa"/>
            <w:vAlign w:val="center"/>
          </w:tcPr>
          <w:p>
            <w:pPr>
              <w:widowControl/>
              <w:rPr>
                <w:rFonts w:cs="宋体"/>
                <w:kern w:val="0"/>
                <w:szCs w:val="21"/>
              </w:rPr>
            </w:pPr>
            <w:r>
              <w:rPr>
                <w:rFonts w:hint="eastAsia" w:cs="宋体"/>
                <w:kern w:val="0"/>
                <w:szCs w:val="21"/>
              </w:rPr>
              <w:t>噪声、振动、粉尘（矽尘）</w:t>
            </w:r>
          </w:p>
        </w:tc>
        <w:tc>
          <w:tcPr>
            <w:tcW w:w="7574" w:type="dxa"/>
            <w:vAlign w:val="center"/>
          </w:tcPr>
          <w:p>
            <w:pPr>
              <w:widowControl/>
              <w:rPr>
                <w:rFonts w:cs="宋体"/>
                <w:kern w:val="0"/>
                <w:szCs w:val="21"/>
              </w:rPr>
            </w:pPr>
            <w:r>
              <w:rPr>
                <w:rFonts w:hint="eastAsia" w:cs="宋体"/>
                <w:b/>
                <w:kern w:val="0"/>
                <w:szCs w:val="21"/>
              </w:rPr>
              <w:t>防噪、防振措施：</w:t>
            </w:r>
            <w:r>
              <w:rPr>
                <w:rFonts w:hint="eastAsia" w:cs="宋体"/>
                <w:kern w:val="0"/>
                <w:szCs w:val="21"/>
              </w:rPr>
              <w:t>（1）宜选用低噪声施工设备和施工工艺代替高噪声施工设备和施工工艺；（2）高噪声生产设备应采取技术措施后，远离作业人员；（3）尽可能减少高噪声设备作业点的密度；（4）强噪声气体动力结构的进排气口为敞开时，应在适当位置设置消声器；（5）从工艺和技术上难以消除或减少高噪声源，应严格限制接触时间。</w:t>
            </w:r>
          </w:p>
          <w:p>
            <w:pPr>
              <w:widowControl/>
              <w:rPr>
                <w:rFonts w:cs="宋体"/>
                <w:kern w:val="0"/>
                <w:szCs w:val="21"/>
              </w:rPr>
            </w:pPr>
            <w:r>
              <w:rPr>
                <w:rFonts w:hint="eastAsia" w:cs="宋体"/>
                <w:b/>
                <w:kern w:val="0"/>
                <w:szCs w:val="21"/>
              </w:rPr>
              <w:t>防尘措施：</w:t>
            </w:r>
            <w:r>
              <w:rPr>
                <w:rFonts w:hint="eastAsia" w:cs="宋体"/>
                <w:kern w:val="0"/>
                <w:szCs w:val="21"/>
              </w:rPr>
              <w:t>（1）正确使用机械，配备除尘装置，采取湿式作业；（2）湿式作业困难的应设置除尘装置；（3）作业时应尽可能在上风向操作；（4）挖方工程、竖井、土方工程、地下工程或隧道均须采取通风措施，保证足够风量。</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耳塞或耳罩、防尘口罩（KN90）、减振手套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vMerge w:val="continue"/>
            <w:tcBorders>
              <w:left w:val="single" w:color="000000" w:themeColor="text1" w:sz="8" w:space="0"/>
            </w:tcBorders>
            <w:vAlign w:val="center"/>
          </w:tcPr>
          <w:p>
            <w:pPr>
              <w:widowControl/>
              <w:jc w:val="center"/>
              <w:rPr>
                <w:rFonts w:cs="宋体"/>
                <w:kern w:val="0"/>
                <w:szCs w:val="21"/>
              </w:rPr>
            </w:pPr>
          </w:p>
        </w:tc>
        <w:tc>
          <w:tcPr>
            <w:tcW w:w="1778" w:type="dxa"/>
            <w:vAlign w:val="center"/>
          </w:tcPr>
          <w:p>
            <w:pPr>
              <w:widowControl/>
              <w:jc w:val="center"/>
              <w:rPr>
                <w:rFonts w:cs="宋体"/>
                <w:kern w:val="0"/>
                <w:szCs w:val="21"/>
              </w:rPr>
            </w:pPr>
            <w:r>
              <w:rPr>
                <w:rFonts w:hint="eastAsia" w:cs="宋体"/>
                <w:kern w:val="0"/>
                <w:szCs w:val="21"/>
              </w:rPr>
              <w:t>沥青混凝土摊铺机操作工、沥青洒布车操作工、沥青工</w:t>
            </w:r>
          </w:p>
        </w:tc>
        <w:tc>
          <w:tcPr>
            <w:tcW w:w="1691" w:type="dxa"/>
            <w:vAlign w:val="center"/>
          </w:tcPr>
          <w:p>
            <w:pPr>
              <w:widowControl/>
              <w:rPr>
                <w:rFonts w:cs="宋体"/>
                <w:kern w:val="0"/>
                <w:szCs w:val="21"/>
              </w:rPr>
            </w:pPr>
            <w:r>
              <w:rPr>
                <w:rFonts w:hint="eastAsia" w:cs="宋体"/>
                <w:kern w:val="0"/>
                <w:szCs w:val="21"/>
              </w:rPr>
              <w:t>噪声、沥青</w:t>
            </w:r>
          </w:p>
        </w:tc>
        <w:tc>
          <w:tcPr>
            <w:tcW w:w="7574" w:type="dxa"/>
            <w:vAlign w:val="center"/>
          </w:tcPr>
          <w:p>
            <w:pPr>
              <w:widowControl/>
              <w:rPr>
                <w:rFonts w:cs="宋体"/>
                <w:kern w:val="0"/>
                <w:szCs w:val="21"/>
              </w:rPr>
            </w:pPr>
            <w:r>
              <w:rPr>
                <w:rFonts w:hint="eastAsia" w:cs="宋体"/>
                <w:b/>
                <w:kern w:val="0"/>
                <w:szCs w:val="21"/>
              </w:rPr>
              <w:t>防噪声、防毒措施：</w:t>
            </w:r>
            <w:r>
              <w:rPr>
                <w:rFonts w:hint="eastAsia" w:cs="宋体"/>
                <w:kern w:val="0"/>
                <w:szCs w:val="21"/>
              </w:rPr>
              <w:t>（1）驾驶室或操作室应密闭隔离；（2）作业时应在上风向操作</w:t>
            </w:r>
            <w:r>
              <w:rPr>
                <w:rFonts w:hint="eastAsia"/>
                <w:szCs w:val="21"/>
              </w:rPr>
              <w:t>。</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耳塞或耳罩、防尘口罩（KP95）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vMerge w:val="restart"/>
            <w:tcBorders>
              <w:left w:val="single" w:color="000000" w:themeColor="text1" w:sz="8" w:space="0"/>
            </w:tcBorders>
            <w:vAlign w:val="center"/>
          </w:tcPr>
          <w:p>
            <w:pPr>
              <w:widowControl/>
              <w:jc w:val="center"/>
              <w:rPr>
                <w:rFonts w:cs="宋体"/>
                <w:kern w:val="0"/>
                <w:szCs w:val="21"/>
              </w:rPr>
            </w:pPr>
            <w:r>
              <w:rPr>
                <w:rFonts w:hint="eastAsia" w:cs="宋体"/>
                <w:kern w:val="0"/>
                <w:szCs w:val="21"/>
              </w:rPr>
              <w:t>工贸行业</w:t>
            </w:r>
          </w:p>
        </w:tc>
        <w:tc>
          <w:tcPr>
            <w:tcW w:w="1778" w:type="dxa"/>
            <w:vAlign w:val="center"/>
          </w:tcPr>
          <w:p>
            <w:pPr>
              <w:widowControl/>
              <w:jc w:val="center"/>
              <w:rPr>
                <w:rFonts w:cs="宋体"/>
                <w:kern w:val="0"/>
                <w:szCs w:val="21"/>
              </w:rPr>
            </w:pPr>
            <w:r>
              <w:rPr>
                <w:rFonts w:hint="eastAsia"/>
              </w:rPr>
              <w:t>打磨工、车间机修工</w:t>
            </w:r>
          </w:p>
        </w:tc>
        <w:tc>
          <w:tcPr>
            <w:tcW w:w="1691" w:type="dxa"/>
            <w:vAlign w:val="center"/>
          </w:tcPr>
          <w:p>
            <w:pPr>
              <w:widowControl/>
              <w:rPr>
                <w:rFonts w:cs="宋体"/>
                <w:kern w:val="0"/>
                <w:szCs w:val="21"/>
              </w:rPr>
            </w:pPr>
            <w:r>
              <w:rPr>
                <w:rFonts w:hint="eastAsia" w:cs="宋体"/>
                <w:kern w:val="0"/>
                <w:szCs w:val="21"/>
              </w:rPr>
              <w:t>噪声、砂轮磨尘</w:t>
            </w:r>
          </w:p>
        </w:tc>
        <w:tc>
          <w:tcPr>
            <w:tcW w:w="7574" w:type="dxa"/>
            <w:vAlign w:val="center"/>
          </w:tcPr>
          <w:p>
            <w:pPr>
              <w:widowControl/>
              <w:rPr>
                <w:rFonts w:cs="宋体"/>
                <w:kern w:val="0"/>
                <w:szCs w:val="21"/>
              </w:rPr>
            </w:pPr>
            <w:r>
              <w:rPr>
                <w:rFonts w:hint="eastAsia" w:cs="宋体"/>
                <w:b/>
                <w:kern w:val="0"/>
                <w:szCs w:val="21"/>
              </w:rPr>
              <w:t>防噪措施：</w:t>
            </w:r>
            <w:r>
              <w:rPr>
                <w:rFonts w:hint="eastAsia" w:cs="宋体"/>
                <w:kern w:val="0"/>
                <w:szCs w:val="21"/>
              </w:rPr>
              <w:t>（1）宜选用低噪声施工设备和施工工艺代替高噪声施工设备和施工工艺；（2）高噪声生产设备应采取技术措施后，远离作业人员；（3）尽可能减少高噪声设备作业点的密度；（4）强噪声气体动力结构的进排气口为敞开时，应在适当位置设置消声器；（5）从工艺和技术上难以消除或减少高噪声源，应严格限制接触时间。</w:t>
            </w:r>
          </w:p>
          <w:p>
            <w:pPr>
              <w:widowControl/>
              <w:rPr>
                <w:rFonts w:cs="宋体"/>
                <w:b/>
                <w:kern w:val="0"/>
                <w:szCs w:val="21"/>
              </w:rPr>
            </w:pPr>
            <w:r>
              <w:rPr>
                <w:rFonts w:hint="eastAsia" w:cs="宋体"/>
                <w:b/>
                <w:kern w:val="0"/>
                <w:szCs w:val="21"/>
              </w:rPr>
              <w:t>防尘措施：</w:t>
            </w:r>
            <w:r>
              <w:rPr>
                <w:rFonts w:hint="eastAsia" w:cs="宋体"/>
                <w:kern w:val="0"/>
                <w:szCs w:val="21"/>
              </w:rPr>
              <w:t xml:space="preserve">（1）正确使用机械，配备除尘装置，采取湿式作业；（2）湿式作业困难的应设置除尘装置。 </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耳塞或耳罩、防尘口罩（KN90）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vMerge w:val="continue"/>
            <w:tcBorders>
              <w:left w:val="single" w:color="000000" w:themeColor="text1" w:sz="8" w:space="0"/>
            </w:tcBorders>
            <w:vAlign w:val="center"/>
          </w:tcPr>
          <w:p>
            <w:pPr>
              <w:widowControl/>
              <w:jc w:val="center"/>
              <w:rPr>
                <w:rFonts w:cs="宋体"/>
                <w:kern w:val="0"/>
                <w:szCs w:val="21"/>
              </w:rPr>
            </w:pPr>
          </w:p>
        </w:tc>
        <w:tc>
          <w:tcPr>
            <w:tcW w:w="1778" w:type="dxa"/>
            <w:vAlign w:val="center"/>
          </w:tcPr>
          <w:p>
            <w:pPr>
              <w:widowControl/>
              <w:jc w:val="center"/>
            </w:pPr>
            <w:r>
              <w:rPr>
                <w:rFonts w:hint="eastAsia"/>
              </w:rPr>
              <w:t>数控切割工</w:t>
            </w:r>
          </w:p>
        </w:tc>
        <w:tc>
          <w:tcPr>
            <w:tcW w:w="1691" w:type="dxa"/>
            <w:vAlign w:val="center"/>
          </w:tcPr>
          <w:p>
            <w:pPr>
              <w:widowControl/>
              <w:rPr>
                <w:rFonts w:cs="宋体"/>
                <w:kern w:val="0"/>
                <w:szCs w:val="21"/>
              </w:rPr>
            </w:pPr>
            <w:r>
              <w:rPr>
                <w:rFonts w:hint="eastAsia" w:cs="宋体"/>
                <w:kern w:val="0"/>
                <w:szCs w:val="21"/>
              </w:rPr>
              <w:t>噪声</w:t>
            </w:r>
          </w:p>
        </w:tc>
        <w:tc>
          <w:tcPr>
            <w:tcW w:w="7574" w:type="dxa"/>
            <w:vAlign w:val="center"/>
          </w:tcPr>
          <w:p>
            <w:pPr>
              <w:widowControl/>
              <w:rPr>
                <w:rFonts w:cs="宋体"/>
                <w:b/>
                <w:kern w:val="0"/>
                <w:szCs w:val="21"/>
              </w:rPr>
            </w:pPr>
            <w:r>
              <w:rPr>
                <w:rFonts w:hint="eastAsia" w:cs="宋体"/>
                <w:b/>
                <w:kern w:val="0"/>
                <w:szCs w:val="21"/>
              </w:rPr>
              <w:t>防噪措施：</w:t>
            </w:r>
            <w:r>
              <w:rPr>
                <w:rFonts w:hint="eastAsia" w:cs="宋体"/>
                <w:kern w:val="0"/>
                <w:szCs w:val="21"/>
              </w:rPr>
              <w:t>（1）宜选用低噪声施工设备和施工工艺代替高噪声施工设备和施工工艺；（2）高噪声生产设备应采取技术措施后，远离作业人员；（3）尽可能减少高噪声设备作业点的密度；（4）强噪声气体动力结构的进排气口为敞开时，应在适当位置设置消声器；（5）从工艺和技术上难以消除或减少高噪声源，应严格限制接触时间。</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耳塞或耳罩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vMerge w:val="restart"/>
            <w:tcBorders>
              <w:left w:val="single" w:color="000000" w:themeColor="text1" w:sz="8" w:space="0"/>
            </w:tcBorders>
            <w:vAlign w:val="center"/>
          </w:tcPr>
          <w:p>
            <w:pPr>
              <w:widowControl/>
              <w:jc w:val="center"/>
              <w:rPr>
                <w:rFonts w:cs="宋体"/>
                <w:kern w:val="0"/>
                <w:szCs w:val="21"/>
              </w:rPr>
            </w:pPr>
            <w:r>
              <w:rPr>
                <w:rFonts w:hint="eastAsia" w:cs="宋体"/>
                <w:kern w:val="0"/>
                <w:szCs w:val="21"/>
              </w:rPr>
              <w:t>其他</w:t>
            </w:r>
          </w:p>
        </w:tc>
        <w:tc>
          <w:tcPr>
            <w:tcW w:w="1778" w:type="dxa"/>
            <w:vAlign w:val="center"/>
          </w:tcPr>
          <w:p>
            <w:pPr>
              <w:widowControl/>
              <w:jc w:val="center"/>
              <w:rPr>
                <w:rFonts w:cs="宋体"/>
                <w:kern w:val="0"/>
                <w:szCs w:val="21"/>
              </w:rPr>
            </w:pPr>
            <w:r>
              <w:rPr>
                <w:rFonts w:hint="eastAsia" w:cs="宋体"/>
                <w:kern w:val="0"/>
                <w:szCs w:val="21"/>
              </w:rPr>
              <w:t>风钻工</w:t>
            </w:r>
          </w:p>
        </w:tc>
        <w:tc>
          <w:tcPr>
            <w:tcW w:w="1691" w:type="dxa"/>
            <w:vAlign w:val="center"/>
          </w:tcPr>
          <w:p>
            <w:pPr>
              <w:widowControl/>
              <w:rPr>
                <w:rFonts w:cs="宋体"/>
                <w:kern w:val="0"/>
                <w:szCs w:val="21"/>
              </w:rPr>
            </w:pPr>
            <w:r>
              <w:rPr>
                <w:rFonts w:hint="eastAsia" w:cs="宋体"/>
                <w:kern w:val="0"/>
                <w:szCs w:val="21"/>
              </w:rPr>
              <w:t>噪声、振动、粉尘（矽尘）</w:t>
            </w:r>
          </w:p>
        </w:tc>
        <w:tc>
          <w:tcPr>
            <w:tcW w:w="7574" w:type="dxa"/>
            <w:vAlign w:val="center"/>
          </w:tcPr>
          <w:p>
            <w:pPr>
              <w:widowControl/>
              <w:rPr>
                <w:rFonts w:cs="宋体"/>
                <w:kern w:val="0"/>
                <w:szCs w:val="21"/>
              </w:rPr>
            </w:pPr>
            <w:r>
              <w:rPr>
                <w:rFonts w:hint="eastAsia" w:cs="宋体"/>
                <w:b/>
                <w:kern w:val="0"/>
                <w:szCs w:val="21"/>
              </w:rPr>
              <w:t>防噪措施：</w:t>
            </w:r>
            <w:r>
              <w:rPr>
                <w:rFonts w:hint="eastAsia" w:cs="宋体"/>
                <w:kern w:val="0"/>
                <w:szCs w:val="21"/>
              </w:rPr>
              <w:t>（1）宜选用低噪声施工设备和施工工艺代替高噪声施工设备和施工工艺；（2）高噪声生产设备应采取技术措施后，远离作业人员；（3）尽可能减少高噪声设备作业点的密度；（4）强噪声气体动力结构的进排气口为敞开时，应在适当位置设置消声器；（5）从工艺和技术上难以消除或减少高噪声源，应严格限制接触时间。</w:t>
            </w:r>
          </w:p>
          <w:p>
            <w:pPr>
              <w:widowControl/>
              <w:rPr>
                <w:rFonts w:cs="宋体"/>
                <w:kern w:val="0"/>
                <w:szCs w:val="21"/>
              </w:rPr>
            </w:pPr>
            <w:r>
              <w:rPr>
                <w:rFonts w:hint="eastAsia" w:cs="宋体"/>
                <w:b/>
                <w:kern w:val="0"/>
                <w:szCs w:val="21"/>
              </w:rPr>
              <w:t>防尘措施：</w:t>
            </w:r>
            <w:r>
              <w:rPr>
                <w:rFonts w:hint="eastAsia" w:cs="宋体"/>
                <w:kern w:val="0"/>
                <w:szCs w:val="21"/>
              </w:rPr>
              <w:t>（1）使用机械采取湿式作业；（2）湿式作业困难的应设置除尘装置；（3）作业时应尽可能在上风向操作；（4）挖方工程、竖井、土方工程、地下工程或隧道均须配备除尘装置，保证足够风量。</w:t>
            </w:r>
          </w:p>
        </w:tc>
        <w:tc>
          <w:tcPr>
            <w:tcW w:w="1792" w:type="dxa"/>
            <w:tcBorders>
              <w:right w:val="single" w:color="000000" w:themeColor="text1" w:sz="8" w:space="0"/>
            </w:tcBorders>
            <w:vAlign w:val="center"/>
          </w:tcPr>
          <w:p>
            <w:pPr>
              <w:widowControl/>
              <w:rPr>
                <w:rFonts w:cs="宋体"/>
                <w:kern w:val="0"/>
                <w:szCs w:val="21"/>
              </w:rPr>
            </w:pPr>
            <w:r>
              <w:rPr>
                <w:rFonts w:hint="eastAsia" w:cs="宋体"/>
                <w:kern w:val="0"/>
                <w:szCs w:val="21"/>
              </w:rPr>
              <w:t>耳塞或耳罩、防尘口罩（KN90）、减振手套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77" w:type="dxa"/>
            <w:vMerge w:val="continue"/>
            <w:tcBorders>
              <w:left w:val="single" w:color="000000" w:themeColor="text1" w:sz="8" w:space="0"/>
              <w:bottom w:val="single" w:color="000000" w:themeColor="text1" w:sz="8" w:space="0"/>
            </w:tcBorders>
            <w:vAlign w:val="center"/>
          </w:tcPr>
          <w:p>
            <w:pPr>
              <w:widowControl/>
              <w:jc w:val="center"/>
              <w:rPr>
                <w:rFonts w:cs="宋体"/>
                <w:kern w:val="0"/>
                <w:szCs w:val="21"/>
              </w:rPr>
            </w:pPr>
          </w:p>
        </w:tc>
        <w:tc>
          <w:tcPr>
            <w:tcW w:w="1778" w:type="dxa"/>
            <w:tcBorders>
              <w:bottom w:val="single" w:color="000000" w:themeColor="text1" w:sz="8" w:space="0"/>
            </w:tcBorders>
            <w:vAlign w:val="center"/>
          </w:tcPr>
          <w:p>
            <w:pPr>
              <w:widowControl/>
              <w:jc w:val="center"/>
              <w:rPr>
                <w:rFonts w:cs="宋体"/>
                <w:kern w:val="0"/>
                <w:szCs w:val="21"/>
              </w:rPr>
            </w:pPr>
            <w:r>
              <w:rPr>
                <w:rFonts w:hint="eastAsia" w:cs="宋体"/>
                <w:kern w:val="0"/>
                <w:szCs w:val="21"/>
              </w:rPr>
              <w:t>砼管工</w:t>
            </w:r>
          </w:p>
        </w:tc>
        <w:tc>
          <w:tcPr>
            <w:tcW w:w="1691" w:type="dxa"/>
            <w:tcBorders>
              <w:bottom w:val="single" w:color="000000" w:themeColor="text1" w:sz="8" w:space="0"/>
            </w:tcBorders>
            <w:vAlign w:val="center"/>
          </w:tcPr>
          <w:p>
            <w:pPr>
              <w:widowControl/>
              <w:rPr>
                <w:rFonts w:cs="宋体"/>
                <w:kern w:val="0"/>
                <w:szCs w:val="21"/>
              </w:rPr>
            </w:pPr>
            <w:r>
              <w:rPr>
                <w:rFonts w:hint="eastAsia" w:cs="宋体"/>
                <w:kern w:val="0"/>
                <w:szCs w:val="21"/>
              </w:rPr>
              <w:t>噪声、粉尘（水泥粉尘）</w:t>
            </w:r>
          </w:p>
        </w:tc>
        <w:tc>
          <w:tcPr>
            <w:tcW w:w="7574" w:type="dxa"/>
            <w:tcBorders>
              <w:bottom w:val="single" w:color="000000" w:themeColor="text1" w:sz="8" w:space="0"/>
            </w:tcBorders>
            <w:vAlign w:val="center"/>
          </w:tcPr>
          <w:p>
            <w:pPr>
              <w:widowControl/>
              <w:rPr>
                <w:rFonts w:cs="宋体"/>
                <w:kern w:val="0"/>
                <w:szCs w:val="21"/>
              </w:rPr>
            </w:pPr>
            <w:r>
              <w:rPr>
                <w:rFonts w:hint="eastAsia" w:cs="宋体"/>
                <w:b/>
                <w:kern w:val="0"/>
                <w:szCs w:val="21"/>
              </w:rPr>
              <w:t>防噪措施：</w:t>
            </w:r>
            <w:r>
              <w:rPr>
                <w:rFonts w:hint="eastAsia" w:cs="宋体"/>
                <w:kern w:val="0"/>
                <w:szCs w:val="21"/>
              </w:rPr>
              <w:t>（1）宜选用低噪声施工设备和施工工艺代替高噪声施工设备和施工工艺；（2）高噪声生产设备应采取技术措施后，远离作业人员；（3）从工艺和技术上难以消除或减少高噪声源，应严格限制接触时间。</w:t>
            </w:r>
          </w:p>
          <w:p>
            <w:pPr>
              <w:widowControl/>
              <w:rPr>
                <w:rFonts w:cs="宋体"/>
                <w:kern w:val="0"/>
                <w:szCs w:val="21"/>
              </w:rPr>
            </w:pPr>
            <w:r>
              <w:rPr>
                <w:rFonts w:hint="eastAsia" w:cs="宋体"/>
                <w:b/>
                <w:kern w:val="0"/>
                <w:szCs w:val="21"/>
              </w:rPr>
              <w:t>防尘措施：</w:t>
            </w:r>
            <w:r>
              <w:rPr>
                <w:rFonts w:hint="eastAsia" w:cs="宋体"/>
                <w:kern w:val="0"/>
                <w:szCs w:val="21"/>
              </w:rPr>
              <w:t>（1）正确使用机械作业；（2）湿式作业困难的应设置除尘装置；（3）作业时应尽可能在上风向操作；（4）采取通风措施，保证足够风量。</w:t>
            </w:r>
          </w:p>
        </w:tc>
        <w:tc>
          <w:tcPr>
            <w:tcW w:w="1792" w:type="dxa"/>
            <w:tcBorders>
              <w:bottom w:val="single" w:color="000000" w:themeColor="text1" w:sz="8" w:space="0"/>
              <w:right w:val="single" w:color="000000" w:themeColor="text1" w:sz="8" w:space="0"/>
            </w:tcBorders>
            <w:vAlign w:val="center"/>
          </w:tcPr>
          <w:p>
            <w:pPr>
              <w:widowControl/>
              <w:rPr>
                <w:rFonts w:cs="宋体"/>
                <w:kern w:val="0"/>
                <w:szCs w:val="21"/>
              </w:rPr>
            </w:pPr>
            <w:r>
              <w:rPr>
                <w:rFonts w:hint="eastAsia" w:cs="宋体"/>
                <w:kern w:val="0"/>
                <w:szCs w:val="21"/>
              </w:rPr>
              <w:t>耳塞或耳罩、防尘口罩（KN90）</w:t>
            </w:r>
          </w:p>
        </w:tc>
      </w:tr>
    </w:tbl>
    <w:p>
      <w:pPr>
        <w:pStyle w:val="40"/>
        <w:spacing w:line="240" w:lineRule="auto"/>
        <w:ind w:firstLine="240" w:firstLineChars="100"/>
        <w:rPr>
          <w:rFonts w:ascii="Times New Roman" w:cs="Times New Roman"/>
        </w:rPr>
      </w:pPr>
    </w:p>
    <w:p>
      <w:pPr>
        <w:pStyle w:val="40"/>
        <w:spacing w:line="240" w:lineRule="auto"/>
        <w:ind w:firstLine="240" w:firstLineChars="100"/>
        <w:rPr>
          <w:rFonts w:ascii="Times New Roman" w:cs="Times New Roman"/>
        </w:rPr>
      </w:pPr>
    </w:p>
    <w:p>
      <w:pPr>
        <w:pStyle w:val="40"/>
        <w:spacing w:line="240" w:lineRule="auto"/>
        <w:ind w:firstLine="240" w:firstLineChars="100"/>
        <w:rPr>
          <w:rFonts w:ascii="Times New Roman" w:cs="Times New Roman"/>
        </w:rPr>
      </w:pPr>
    </w:p>
    <w:p>
      <w:pPr>
        <w:pStyle w:val="40"/>
        <w:spacing w:line="240" w:lineRule="auto"/>
        <w:ind w:firstLine="240" w:firstLineChars="100"/>
        <w:rPr>
          <w:rFonts w:ascii="Times New Roman" w:cs="Times New Roman"/>
        </w:rPr>
      </w:pPr>
    </w:p>
    <w:p>
      <w:pPr>
        <w:rPr>
          <w:rFonts w:ascii="Times New Roman" w:cs="Times New Roman"/>
        </w:rPr>
      </w:pPr>
      <w:r>
        <w:rPr>
          <w:rFonts w:ascii="Times New Roman" w:cs="Times New Roman"/>
        </w:rPr>
        <w:br w:type="page"/>
      </w:r>
    </w:p>
    <w:tbl>
      <w:tblPr>
        <w:tblStyle w:val="21"/>
        <w:tblW w:w="0" w:type="auto"/>
        <w:jc w:val="center"/>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Layout w:type="fixed"/>
        <w:tblCellMar>
          <w:top w:w="0" w:type="dxa"/>
          <w:left w:w="108" w:type="dxa"/>
          <w:bottom w:w="0" w:type="dxa"/>
          <w:right w:w="108" w:type="dxa"/>
        </w:tblCellMar>
      </w:tblPr>
      <w:tblGrid>
        <w:gridCol w:w="1061"/>
        <w:gridCol w:w="1056"/>
        <w:gridCol w:w="2693"/>
        <w:gridCol w:w="4111"/>
        <w:gridCol w:w="1984"/>
        <w:gridCol w:w="1758"/>
        <w:gridCol w:w="1507"/>
      </w:tblGrid>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5" w:hRule="atLeast"/>
          <w:tblHeader/>
          <w:jc w:val="center"/>
        </w:trPr>
        <w:tc>
          <w:tcPr>
            <w:tcW w:w="14170" w:type="dxa"/>
            <w:gridSpan w:val="7"/>
            <w:tcBorders>
              <w:bottom w:val="single" w:color="000000" w:sz="8" w:space="0"/>
              <w:tl2br w:val="nil"/>
              <w:tr2bl w:val="nil"/>
            </w:tcBorders>
            <w:vAlign w:val="center"/>
          </w:tcPr>
          <w:p>
            <w:pPr>
              <w:pageBreakBefore/>
              <w:widowControl/>
              <w:adjustRightInd/>
              <w:snapToGrid/>
              <w:spacing w:line="360" w:lineRule="auto"/>
              <w:jc w:val="center"/>
              <w:outlineLvl w:val="0"/>
              <w:rPr>
                <w:rFonts w:hint="eastAsia"/>
                <w:szCs w:val="21"/>
              </w:rPr>
            </w:pPr>
            <w:r>
              <w:rPr>
                <w:rFonts w:hint="eastAsia" w:ascii="Times New Roman" w:hAnsi="Times New Roman"/>
                <w:b/>
                <w:bCs/>
                <w:kern w:val="0"/>
                <w:sz w:val="28"/>
                <w:szCs w:val="28"/>
                <w:lang w:eastAsia="zh-CN"/>
              </w:rPr>
              <w:t>附</w:t>
            </w:r>
            <w:r>
              <w:rPr>
                <w:rFonts w:ascii="Times New Roman" w:hAnsi="Times New Roman"/>
                <w:b/>
                <w:bCs/>
                <w:kern w:val="0"/>
                <w:sz w:val="28"/>
                <w:szCs w:val="28"/>
              </w:rPr>
              <w:t xml:space="preserve">录C </w:t>
            </w:r>
            <w:r>
              <w:rPr>
                <w:rFonts w:hint="eastAsia" w:ascii="Times New Roman" w:hAnsi="Times New Roman"/>
                <w:b/>
                <w:bCs/>
                <w:kern w:val="0"/>
                <w:sz w:val="28"/>
                <w:szCs w:val="28"/>
              </w:rPr>
              <w:t>建筑施工主要职业健康体检项目、周期</w:t>
            </w: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645" w:hRule="atLeast"/>
          <w:tblHeader/>
          <w:jc w:val="center"/>
        </w:trPr>
        <w:tc>
          <w:tcPr>
            <w:tcW w:w="1061" w:type="dxa"/>
            <w:tcBorders>
              <w:top w:val="single" w:color="000000" w:sz="8" w:space="0"/>
              <w:left w:val="single" w:color="000000" w:sz="8" w:space="0"/>
            </w:tcBorders>
            <w:vAlign w:val="center"/>
          </w:tcPr>
          <w:p>
            <w:pPr>
              <w:adjustRightInd w:val="0"/>
              <w:snapToGrid w:val="0"/>
              <w:jc w:val="center"/>
              <w:rPr>
                <w:szCs w:val="21"/>
              </w:rPr>
            </w:pPr>
            <w:r>
              <w:rPr>
                <w:rFonts w:hint="eastAsia"/>
                <w:szCs w:val="21"/>
              </w:rPr>
              <w:t>危害因素</w:t>
            </w:r>
          </w:p>
        </w:tc>
        <w:tc>
          <w:tcPr>
            <w:tcW w:w="1056" w:type="dxa"/>
            <w:tcBorders>
              <w:top w:val="single" w:color="000000" w:sz="8" w:space="0"/>
            </w:tcBorders>
            <w:vAlign w:val="center"/>
          </w:tcPr>
          <w:p>
            <w:pPr>
              <w:adjustRightInd w:val="0"/>
              <w:snapToGrid w:val="0"/>
              <w:jc w:val="center"/>
              <w:rPr>
                <w:szCs w:val="21"/>
              </w:rPr>
            </w:pPr>
            <w:r>
              <w:rPr>
                <w:rFonts w:hint="eastAsia"/>
                <w:szCs w:val="21"/>
              </w:rPr>
              <w:t>项目</w:t>
            </w:r>
          </w:p>
        </w:tc>
        <w:tc>
          <w:tcPr>
            <w:tcW w:w="2693" w:type="dxa"/>
            <w:tcBorders>
              <w:top w:val="single" w:color="000000" w:sz="8" w:space="0"/>
            </w:tcBorders>
            <w:vAlign w:val="center"/>
          </w:tcPr>
          <w:p>
            <w:pPr>
              <w:adjustRightInd w:val="0"/>
              <w:snapToGrid w:val="0"/>
              <w:jc w:val="center"/>
              <w:rPr>
                <w:szCs w:val="21"/>
              </w:rPr>
            </w:pPr>
            <w:r>
              <w:rPr>
                <w:rFonts w:hint="eastAsia"/>
                <w:szCs w:val="21"/>
              </w:rPr>
              <w:t>上岗前职业健康检查</w:t>
            </w:r>
          </w:p>
        </w:tc>
        <w:tc>
          <w:tcPr>
            <w:tcW w:w="4111" w:type="dxa"/>
            <w:tcBorders>
              <w:top w:val="single" w:color="000000" w:sz="8" w:space="0"/>
            </w:tcBorders>
            <w:vAlign w:val="center"/>
          </w:tcPr>
          <w:p>
            <w:pPr>
              <w:adjustRightInd w:val="0"/>
              <w:snapToGrid w:val="0"/>
              <w:jc w:val="center"/>
              <w:rPr>
                <w:szCs w:val="21"/>
              </w:rPr>
            </w:pPr>
            <w:r>
              <w:rPr>
                <w:rFonts w:hint="eastAsia"/>
                <w:szCs w:val="21"/>
              </w:rPr>
              <w:t>在岗职业健康检查</w:t>
            </w:r>
          </w:p>
        </w:tc>
        <w:tc>
          <w:tcPr>
            <w:tcW w:w="1984" w:type="dxa"/>
            <w:tcBorders>
              <w:top w:val="single" w:color="000000" w:sz="8" w:space="0"/>
            </w:tcBorders>
            <w:vAlign w:val="center"/>
          </w:tcPr>
          <w:p>
            <w:pPr>
              <w:adjustRightInd w:val="0"/>
              <w:snapToGrid w:val="0"/>
              <w:jc w:val="center"/>
              <w:rPr>
                <w:szCs w:val="21"/>
              </w:rPr>
            </w:pPr>
            <w:r>
              <w:rPr>
                <w:rFonts w:hint="eastAsia"/>
                <w:szCs w:val="21"/>
              </w:rPr>
              <w:t>应急职业健康检查</w:t>
            </w:r>
          </w:p>
        </w:tc>
        <w:tc>
          <w:tcPr>
            <w:tcW w:w="1758" w:type="dxa"/>
            <w:tcBorders>
              <w:top w:val="single" w:color="000000" w:sz="8" w:space="0"/>
            </w:tcBorders>
            <w:vAlign w:val="center"/>
          </w:tcPr>
          <w:p>
            <w:pPr>
              <w:adjustRightInd w:val="0"/>
              <w:snapToGrid w:val="0"/>
              <w:jc w:val="center"/>
              <w:rPr>
                <w:szCs w:val="21"/>
              </w:rPr>
            </w:pPr>
            <w:r>
              <w:rPr>
                <w:rFonts w:hint="eastAsia"/>
                <w:szCs w:val="21"/>
              </w:rPr>
              <w:t>离岗健康检查</w:t>
            </w:r>
          </w:p>
        </w:tc>
        <w:tc>
          <w:tcPr>
            <w:tcW w:w="1507" w:type="dxa"/>
            <w:tcBorders>
              <w:top w:val="single" w:color="000000" w:sz="8" w:space="0"/>
              <w:right w:val="single" w:color="000000" w:sz="8" w:space="0"/>
            </w:tcBorders>
            <w:vAlign w:val="center"/>
          </w:tcPr>
          <w:p>
            <w:pPr>
              <w:adjustRightInd w:val="0"/>
              <w:snapToGrid w:val="0"/>
              <w:jc w:val="center"/>
              <w:rPr>
                <w:szCs w:val="21"/>
              </w:rPr>
            </w:pPr>
            <w:r>
              <w:rPr>
                <w:rFonts w:hint="eastAsia"/>
                <w:szCs w:val="21"/>
              </w:rPr>
              <w:t>检查周期</w:t>
            </w: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061" w:type="dxa"/>
            <w:vMerge w:val="restart"/>
            <w:tcBorders>
              <w:left w:val="single" w:color="000000" w:sz="8" w:space="0"/>
            </w:tcBorders>
            <w:vAlign w:val="center"/>
          </w:tcPr>
          <w:p>
            <w:pPr>
              <w:autoSpaceDE w:val="0"/>
              <w:autoSpaceDN w:val="0"/>
              <w:adjustRightInd w:val="0"/>
              <w:snapToGrid w:val="0"/>
              <w:rPr>
                <w:szCs w:val="21"/>
              </w:rPr>
            </w:pPr>
            <w:r>
              <w:rPr>
                <w:rFonts w:hint="eastAsia"/>
                <w:szCs w:val="21"/>
              </w:rPr>
              <w:t>噪声</w:t>
            </w:r>
          </w:p>
        </w:tc>
        <w:tc>
          <w:tcPr>
            <w:tcW w:w="1056" w:type="dxa"/>
            <w:vAlign w:val="center"/>
          </w:tcPr>
          <w:p>
            <w:pPr>
              <w:autoSpaceDE w:val="0"/>
              <w:autoSpaceDN w:val="0"/>
              <w:adjustRightInd w:val="0"/>
              <w:snapToGrid w:val="0"/>
              <w:rPr>
                <w:szCs w:val="21"/>
              </w:rPr>
            </w:pPr>
            <w:r>
              <w:rPr>
                <w:rFonts w:hint="eastAsia"/>
                <w:szCs w:val="21"/>
              </w:rPr>
              <w:t>目标疾病</w:t>
            </w:r>
          </w:p>
        </w:tc>
        <w:tc>
          <w:tcPr>
            <w:tcW w:w="2693" w:type="dxa"/>
            <w:vAlign w:val="center"/>
          </w:tcPr>
          <w:p>
            <w:pPr>
              <w:autoSpaceDE w:val="0"/>
              <w:autoSpaceDN w:val="0"/>
              <w:adjustRightInd w:val="0"/>
              <w:snapToGrid w:val="0"/>
              <w:rPr>
                <w:szCs w:val="21"/>
              </w:rPr>
            </w:pPr>
            <w:r>
              <w:rPr>
                <w:rFonts w:hint="eastAsia"/>
                <w:szCs w:val="21"/>
              </w:rPr>
              <w:t>职业禁忌证：</w:t>
            </w:r>
          </w:p>
          <w:p>
            <w:pPr>
              <w:autoSpaceDE w:val="0"/>
              <w:autoSpaceDN w:val="0"/>
              <w:adjustRightInd w:val="0"/>
              <w:snapToGrid w:val="0"/>
              <w:rPr>
                <w:szCs w:val="21"/>
              </w:rPr>
            </w:pPr>
            <w:r>
              <w:rPr>
                <w:rFonts w:hint="eastAsia"/>
                <w:szCs w:val="21"/>
              </w:rPr>
              <w:t>(1)各种原因引起永久性感音神经性听力损失500Hz、1000Hz和2000Hz中任一频率的纯音气导听阈＞25dB)</w:t>
            </w:r>
          </w:p>
          <w:p>
            <w:pPr>
              <w:autoSpaceDE w:val="0"/>
              <w:autoSpaceDN w:val="0"/>
              <w:adjustRightInd w:val="0"/>
              <w:snapToGrid w:val="0"/>
              <w:rPr>
                <w:szCs w:val="21"/>
              </w:rPr>
            </w:pPr>
            <w:r>
              <w:rPr>
                <w:rFonts w:hint="eastAsia"/>
                <w:szCs w:val="21"/>
              </w:rPr>
              <w:t xml:space="preserve">(2)双耳高频(3000Hz，4000Hz，6000Hz)平均听阈≥40dB </w:t>
            </w:r>
          </w:p>
          <w:p>
            <w:pPr>
              <w:autoSpaceDE w:val="0"/>
              <w:autoSpaceDN w:val="0"/>
              <w:adjustRightInd w:val="0"/>
              <w:snapToGrid w:val="0"/>
              <w:rPr>
                <w:szCs w:val="21"/>
              </w:rPr>
            </w:pPr>
            <w:r>
              <w:rPr>
                <w:rFonts w:hint="eastAsia"/>
                <w:szCs w:val="21"/>
              </w:rPr>
              <w:t>(3) 任一耳传导性耳聋，平均语频听力损失≥41dB</w:t>
            </w:r>
          </w:p>
        </w:tc>
        <w:tc>
          <w:tcPr>
            <w:tcW w:w="4111" w:type="dxa"/>
            <w:vAlign w:val="center"/>
          </w:tcPr>
          <w:p>
            <w:pPr>
              <w:autoSpaceDE w:val="0"/>
              <w:autoSpaceDN w:val="0"/>
              <w:adjustRightInd w:val="0"/>
              <w:snapToGrid w:val="0"/>
              <w:rPr>
                <w:szCs w:val="21"/>
              </w:rPr>
            </w:pPr>
            <w:r>
              <w:rPr>
                <w:rFonts w:hint="eastAsia"/>
                <w:szCs w:val="21"/>
              </w:rPr>
              <w:t>(1)职业病  职业性噪声聋(见GBZ49)</w:t>
            </w:r>
          </w:p>
          <w:p>
            <w:pPr>
              <w:autoSpaceDE w:val="0"/>
              <w:autoSpaceDN w:val="0"/>
              <w:adjustRightInd w:val="0"/>
              <w:snapToGrid w:val="0"/>
              <w:rPr>
                <w:szCs w:val="21"/>
              </w:rPr>
            </w:pPr>
            <w:r>
              <w:rPr>
                <w:rFonts w:hint="eastAsia"/>
                <w:szCs w:val="21"/>
              </w:rPr>
              <w:t>(2)职业禁忌证  除噪声外各种原因引起的永久性感音神经性听力损失（500Hz、1000Hz、2000Hz中任一频率的纯音气导听阈＞25dB）；任一耳传导性耳聋，平均语频听力损失≥41dB；噪声易感者(上岗前职业健康体检纯音听力检查各频率听力损失均≤25dB，但噪声环境下工作1年内，双耳3000Hz、4000Hz、6000Hz中任一耳，任一频率听力损失≥65dB)</w:t>
            </w:r>
          </w:p>
        </w:tc>
        <w:tc>
          <w:tcPr>
            <w:tcW w:w="1984" w:type="dxa"/>
            <w:vAlign w:val="center"/>
          </w:tcPr>
          <w:p>
            <w:pPr>
              <w:adjustRightInd w:val="0"/>
              <w:snapToGrid w:val="0"/>
              <w:rPr>
                <w:szCs w:val="21"/>
              </w:rPr>
            </w:pPr>
            <w:r>
              <w:rPr>
                <w:rFonts w:hint="eastAsia"/>
                <w:szCs w:val="21"/>
              </w:rPr>
              <w:t>职业病：职业性爆震聋</w:t>
            </w:r>
          </w:p>
        </w:tc>
        <w:tc>
          <w:tcPr>
            <w:tcW w:w="1758" w:type="dxa"/>
            <w:vAlign w:val="center"/>
          </w:tcPr>
          <w:p>
            <w:pPr>
              <w:autoSpaceDE w:val="0"/>
              <w:autoSpaceDN w:val="0"/>
              <w:adjustRightInd w:val="0"/>
              <w:snapToGrid w:val="0"/>
              <w:rPr>
                <w:kern w:val="0"/>
                <w:szCs w:val="21"/>
              </w:rPr>
            </w:pPr>
            <w:r>
              <w:rPr>
                <w:rFonts w:hint="eastAsia"/>
                <w:kern w:val="0"/>
                <w:szCs w:val="21"/>
              </w:rPr>
              <w:t>职业性噪声聋</w:t>
            </w:r>
          </w:p>
        </w:tc>
        <w:tc>
          <w:tcPr>
            <w:tcW w:w="1507" w:type="dxa"/>
            <w:vMerge w:val="restart"/>
            <w:tcBorders>
              <w:right w:val="single" w:color="000000" w:sz="8" w:space="0"/>
            </w:tcBorders>
            <w:vAlign w:val="center"/>
          </w:tcPr>
          <w:p>
            <w:pPr>
              <w:autoSpaceDE w:val="0"/>
              <w:autoSpaceDN w:val="0"/>
              <w:adjustRightInd w:val="0"/>
              <w:snapToGrid w:val="0"/>
              <w:rPr>
                <w:szCs w:val="21"/>
              </w:rPr>
            </w:pPr>
            <w:r>
              <w:rPr>
                <w:rFonts w:hint="eastAsia"/>
                <w:szCs w:val="21"/>
              </w:rPr>
              <w:t>在岗检查周期：作业场所噪声8h等效声级≥85dB，1年1次；作业场所噪声8h等效声级≥80dB，小于85dB，2年1次；</w:t>
            </w: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必检项目</w:t>
            </w:r>
          </w:p>
        </w:tc>
        <w:tc>
          <w:tcPr>
            <w:tcW w:w="2693" w:type="dxa"/>
            <w:vAlign w:val="center"/>
          </w:tcPr>
          <w:p>
            <w:pPr>
              <w:autoSpaceDE w:val="0"/>
              <w:autoSpaceDN w:val="0"/>
              <w:adjustRightInd w:val="0"/>
              <w:snapToGrid w:val="0"/>
              <w:rPr>
                <w:szCs w:val="21"/>
              </w:rPr>
            </w:pPr>
            <w:r>
              <w:rPr>
                <w:rFonts w:hint="eastAsia"/>
                <w:szCs w:val="21"/>
              </w:rPr>
              <w:t>纯音听阈测试、心电图、血常规、尿常规、血清ALT</w:t>
            </w:r>
          </w:p>
        </w:tc>
        <w:tc>
          <w:tcPr>
            <w:tcW w:w="4111" w:type="dxa"/>
            <w:vAlign w:val="center"/>
          </w:tcPr>
          <w:p>
            <w:pPr>
              <w:autoSpaceDE w:val="0"/>
              <w:autoSpaceDN w:val="0"/>
              <w:adjustRightInd w:val="0"/>
              <w:snapToGrid w:val="0"/>
              <w:rPr>
                <w:szCs w:val="21"/>
              </w:rPr>
            </w:pPr>
            <w:r>
              <w:rPr>
                <w:rFonts w:hint="eastAsia"/>
                <w:szCs w:val="21"/>
              </w:rPr>
              <w:t>纯音听阈测试、心电图</w:t>
            </w:r>
          </w:p>
        </w:tc>
        <w:tc>
          <w:tcPr>
            <w:tcW w:w="1984" w:type="dxa"/>
            <w:vAlign w:val="center"/>
          </w:tcPr>
          <w:p>
            <w:pPr>
              <w:adjustRightInd w:val="0"/>
              <w:snapToGrid w:val="0"/>
              <w:rPr>
                <w:szCs w:val="21"/>
              </w:rPr>
            </w:pPr>
            <w:r>
              <w:rPr>
                <w:rFonts w:hint="eastAsia"/>
                <w:szCs w:val="21"/>
              </w:rPr>
              <w:t>纯音气骨导听阈测试</w:t>
            </w:r>
          </w:p>
        </w:tc>
        <w:tc>
          <w:tcPr>
            <w:tcW w:w="1758" w:type="dxa"/>
            <w:vAlign w:val="center"/>
          </w:tcPr>
          <w:p>
            <w:pPr>
              <w:autoSpaceDE w:val="0"/>
              <w:autoSpaceDN w:val="0"/>
              <w:adjustRightInd w:val="0"/>
              <w:snapToGrid w:val="0"/>
              <w:rPr>
                <w:szCs w:val="21"/>
              </w:rPr>
            </w:pPr>
            <w:r>
              <w:rPr>
                <w:rFonts w:hint="eastAsia"/>
                <w:szCs w:val="21"/>
              </w:rPr>
              <w:t>同在岗期间</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选检项目</w:t>
            </w:r>
          </w:p>
        </w:tc>
        <w:tc>
          <w:tcPr>
            <w:tcW w:w="2693" w:type="dxa"/>
            <w:vAlign w:val="center"/>
          </w:tcPr>
          <w:p>
            <w:pPr>
              <w:autoSpaceDE w:val="0"/>
              <w:autoSpaceDN w:val="0"/>
              <w:adjustRightInd w:val="0"/>
              <w:snapToGrid w:val="0"/>
              <w:rPr>
                <w:szCs w:val="21"/>
              </w:rPr>
            </w:pPr>
            <w:r>
              <w:rPr>
                <w:rFonts w:hint="eastAsia"/>
                <w:szCs w:val="21"/>
              </w:rPr>
              <w:t>声导抗、耳声发射</w:t>
            </w:r>
          </w:p>
        </w:tc>
        <w:tc>
          <w:tcPr>
            <w:tcW w:w="4111" w:type="dxa"/>
            <w:vAlign w:val="center"/>
          </w:tcPr>
          <w:p>
            <w:pPr>
              <w:autoSpaceDE w:val="0"/>
              <w:autoSpaceDN w:val="0"/>
              <w:adjustRightInd w:val="0"/>
              <w:snapToGrid w:val="0"/>
              <w:rPr>
                <w:szCs w:val="21"/>
              </w:rPr>
            </w:pPr>
            <w:r>
              <w:rPr>
                <w:rFonts w:hint="eastAsia"/>
                <w:szCs w:val="21"/>
              </w:rPr>
              <w:t>纯音骨导听阈测试、声导抗、耳声发射、听觉诱发电反应测听</w:t>
            </w:r>
          </w:p>
        </w:tc>
        <w:tc>
          <w:tcPr>
            <w:tcW w:w="1984" w:type="dxa"/>
            <w:vAlign w:val="center"/>
          </w:tcPr>
          <w:p>
            <w:pPr>
              <w:adjustRightInd w:val="0"/>
              <w:snapToGrid w:val="0"/>
              <w:rPr>
                <w:szCs w:val="21"/>
              </w:rPr>
            </w:pPr>
            <w:r>
              <w:rPr>
                <w:rFonts w:hint="eastAsia"/>
                <w:szCs w:val="21"/>
              </w:rPr>
              <w:t>声导抗（鼓膜无破裂者）、耳声发射、听觉诱发电反应测听、40Hz电反应测听</w:t>
            </w:r>
          </w:p>
        </w:tc>
        <w:tc>
          <w:tcPr>
            <w:tcW w:w="1758" w:type="dxa"/>
            <w:vAlign w:val="center"/>
          </w:tcPr>
          <w:p>
            <w:pPr>
              <w:autoSpaceDE w:val="0"/>
              <w:autoSpaceDN w:val="0"/>
              <w:adjustRightInd w:val="0"/>
              <w:snapToGrid w:val="0"/>
              <w:rPr>
                <w:szCs w:val="21"/>
              </w:rPr>
            </w:pPr>
            <w:r>
              <w:rPr>
                <w:rFonts w:hint="eastAsia"/>
                <w:szCs w:val="21"/>
              </w:rPr>
              <w:t>同在岗期间</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061" w:type="dxa"/>
            <w:vMerge w:val="restart"/>
            <w:tcBorders>
              <w:left w:val="single" w:color="000000" w:sz="8" w:space="0"/>
            </w:tcBorders>
            <w:vAlign w:val="center"/>
          </w:tcPr>
          <w:p>
            <w:pPr>
              <w:autoSpaceDE w:val="0"/>
              <w:autoSpaceDN w:val="0"/>
              <w:adjustRightInd w:val="0"/>
              <w:snapToGrid w:val="0"/>
              <w:rPr>
                <w:szCs w:val="21"/>
              </w:rPr>
            </w:pPr>
            <w:r>
              <w:rPr>
                <w:rFonts w:hint="eastAsia"/>
                <w:szCs w:val="21"/>
              </w:rPr>
              <w:t>氮氧化物</w:t>
            </w:r>
          </w:p>
        </w:tc>
        <w:tc>
          <w:tcPr>
            <w:tcW w:w="1056" w:type="dxa"/>
            <w:vAlign w:val="center"/>
          </w:tcPr>
          <w:p>
            <w:pPr>
              <w:autoSpaceDE w:val="0"/>
              <w:autoSpaceDN w:val="0"/>
              <w:adjustRightInd w:val="0"/>
              <w:snapToGrid w:val="0"/>
              <w:rPr>
                <w:szCs w:val="21"/>
              </w:rPr>
            </w:pPr>
            <w:r>
              <w:rPr>
                <w:rFonts w:hint="eastAsia"/>
                <w:szCs w:val="21"/>
              </w:rPr>
              <w:t>目标疾病</w:t>
            </w:r>
          </w:p>
        </w:tc>
        <w:tc>
          <w:tcPr>
            <w:tcW w:w="2693" w:type="dxa"/>
            <w:vAlign w:val="center"/>
          </w:tcPr>
          <w:p>
            <w:pPr>
              <w:autoSpaceDE w:val="0"/>
              <w:autoSpaceDN w:val="0"/>
              <w:adjustRightInd w:val="0"/>
              <w:snapToGrid w:val="0"/>
              <w:rPr>
                <w:szCs w:val="21"/>
              </w:rPr>
            </w:pPr>
            <w:r>
              <w:rPr>
                <w:rFonts w:hint="eastAsia"/>
                <w:szCs w:val="21"/>
              </w:rPr>
              <w:t>职业禁忌证：慢性阻塞性肺病、支气管哮喘、慢性间质性肺病</w:t>
            </w:r>
          </w:p>
        </w:tc>
        <w:tc>
          <w:tcPr>
            <w:tcW w:w="4111" w:type="dxa"/>
            <w:vAlign w:val="center"/>
          </w:tcPr>
          <w:p>
            <w:pPr>
              <w:autoSpaceDE w:val="0"/>
              <w:autoSpaceDN w:val="0"/>
              <w:adjustRightInd w:val="0"/>
              <w:snapToGrid w:val="0"/>
              <w:rPr>
                <w:szCs w:val="21"/>
              </w:rPr>
            </w:pPr>
            <w:r>
              <w:rPr>
                <w:rFonts w:hint="eastAsia"/>
                <w:szCs w:val="21"/>
              </w:rPr>
              <w:t>职业病：职业性刺激性化学物致慢性阻塞性肺疾病</w:t>
            </w:r>
          </w:p>
          <w:p>
            <w:pPr>
              <w:autoSpaceDE w:val="0"/>
              <w:autoSpaceDN w:val="0"/>
              <w:adjustRightInd w:val="0"/>
              <w:snapToGrid w:val="0"/>
              <w:rPr>
                <w:szCs w:val="21"/>
              </w:rPr>
            </w:pPr>
            <w:r>
              <w:rPr>
                <w:rFonts w:hint="eastAsia"/>
                <w:szCs w:val="21"/>
              </w:rPr>
              <w:t>职业禁忌证：支气管哮喘、慢性间质性肺病</w:t>
            </w:r>
          </w:p>
        </w:tc>
        <w:tc>
          <w:tcPr>
            <w:tcW w:w="1984" w:type="dxa"/>
            <w:vAlign w:val="center"/>
          </w:tcPr>
          <w:p>
            <w:pPr>
              <w:adjustRightInd w:val="0"/>
              <w:snapToGrid w:val="0"/>
              <w:rPr>
                <w:szCs w:val="21"/>
              </w:rPr>
            </w:pPr>
            <w:r>
              <w:rPr>
                <w:rFonts w:hint="eastAsia"/>
                <w:szCs w:val="21"/>
              </w:rPr>
              <w:t>职业性急性氮氧化物中毒、职业性化学性眼灼伤、职业性化学性皮肤灼伤</w:t>
            </w:r>
          </w:p>
        </w:tc>
        <w:tc>
          <w:tcPr>
            <w:tcW w:w="1758" w:type="dxa"/>
            <w:vAlign w:val="center"/>
          </w:tcPr>
          <w:p>
            <w:pPr>
              <w:autoSpaceDE w:val="0"/>
              <w:autoSpaceDN w:val="0"/>
              <w:adjustRightInd w:val="0"/>
              <w:snapToGrid w:val="0"/>
              <w:rPr>
                <w:szCs w:val="21"/>
              </w:rPr>
            </w:pPr>
            <w:r>
              <w:rPr>
                <w:rFonts w:hint="eastAsia"/>
                <w:szCs w:val="21"/>
              </w:rPr>
              <w:t>职业病：职业性刺激性化学物致慢性阻塞性肺疾病</w:t>
            </w:r>
          </w:p>
        </w:tc>
        <w:tc>
          <w:tcPr>
            <w:tcW w:w="1507" w:type="dxa"/>
            <w:vMerge w:val="restart"/>
            <w:tcBorders>
              <w:right w:val="single" w:color="000000" w:sz="8" w:space="0"/>
            </w:tcBorders>
            <w:vAlign w:val="center"/>
          </w:tcPr>
          <w:p>
            <w:pPr>
              <w:adjustRightInd w:val="0"/>
              <w:snapToGrid w:val="0"/>
              <w:rPr>
                <w:szCs w:val="21"/>
              </w:rPr>
            </w:pPr>
            <w:r>
              <w:rPr>
                <w:rFonts w:hint="eastAsia"/>
                <w:szCs w:val="21"/>
              </w:rPr>
              <w:t>在岗期间职业健康检查周期：1年</w:t>
            </w: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必检项目</w:t>
            </w:r>
          </w:p>
        </w:tc>
        <w:tc>
          <w:tcPr>
            <w:tcW w:w="6804" w:type="dxa"/>
            <w:gridSpan w:val="2"/>
            <w:vAlign w:val="center"/>
          </w:tcPr>
          <w:p>
            <w:pPr>
              <w:autoSpaceDE w:val="0"/>
              <w:autoSpaceDN w:val="0"/>
              <w:adjustRightInd w:val="0"/>
              <w:snapToGrid w:val="0"/>
              <w:rPr>
                <w:szCs w:val="21"/>
              </w:rPr>
            </w:pPr>
            <w:r>
              <w:rPr>
                <w:rFonts w:hint="eastAsia"/>
                <w:szCs w:val="21"/>
              </w:rPr>
              <w:t>血常规、尿常规、血清ALT、心电图、肺功能、胸部X射线摄片</w:t>
            </w:r>
          </w:p>
        </w:tc>
        <w:tc>
          <w:tcPr>
            <w:tcW w:w="1984" w:type="dxa"/>
            <w:vAlign w:val="center"/>
          </w:tcPr>
          <w:p>
            <w:pPr>
              <w:adjustRightInd w:val="0"/>
              <w:snapToGrid w:val="0"/>
              <w:rPr>
                <w:szCs w:val="21"/>
              </w:rPr>
            </w:pPr>
            <w:r>
              <w:rPr>
                <w:rFonts w:hint="eastAsia"/>
                <w:szCs w:val="21"/>
              </w:rPr>
              <w:t>血常规、尿常规、心电图、胸部X射线摄片、血氧饱和度</w:t>
            </w:r>
          </w:p>
        </w:tc>
        <w:tc>
          <w:tcPr>
            <w:tcW w:w="1758" w:type="dxa"/>
            <w:vAlign w:val="center"/>
          </w:tcPr>
          <w:p>
            <w:pPr>
              <w:autoSpaceDE w:val="0"/>
              <w:autoSpaceDN w:val="0"/>
              <w:adjustRightInd w:val="0"/>
              <w:snapToGrid w:val="0"/>
              <w:rPr>
                <w:szCs w:val="21"/>
              </w:rPr>
            </w:pPr>
            <w:r>
              <w:rPr>
                <w:rFonts w:hint="eastAsia"/>
                <w:szCs w:val="21"/>
              </w:rPr>
              <w:t>同上岗前</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选检项目</w:t>
            </w:r>
          </w:p>
        </w:tc>
        <w:tc>
          <w:tcPr>
            <w:tcW w:w="6804" w:type="dxa"/>
            <w:gridSpan w:val="2"/>
            <w:vAlign w:val="center"/>
          </w:tcPr>
          <w:p>
            <w:pPr>
              <w:autoSpaceDE w:val="0"/>
              <w:autoSpaceDN w:val="0"/>
              <w:adjustRightInd w:val="0"/>
              <w:snapToGrid w:val="0"/>
              <w:rPr>
                <w:szCs w:val="21"/>
              </w:rPr>
            </w:pPr>
            <w:r>
              <w:rPr>
                <w:rFonts w:hint="eastAsia"/>
                <w:szCs w:val="21"/>
              </w:rPr>
              <w:t>肺弥散功能</w:t>
            </w:r>
          </w:p>
        </w:tc>
        <w:tc>
          <w:tcPr>
            <w:tcW w:w="1984" w:type="dxa"/>
            <w:vAlign w:val="center"/>
          </w:tcPr>
          <w:p>
            <w:pPr>
              <w:adjustRightInd w:val="0"/>
              <w:snapToGrid w:val="0"/>
              <w:rPr>
                <w:szCs w:val="21"/>
              </w:rPr>
            </w:pPr>
            <w:r>
              <w:rPr>
                <w:rFonts w:hint="eastAsia"/>
                <w:szCs w:val="21"/>
              </w:rPr>
              <w:t>血气分析</w:t>
            </w:r>
          </w:p>
        </w:tc>
        <w:tc>
          <w:tcPr>
            <w:tcW w:w="1758" w:type="dxa"/>
            <w:vAlign w:val="center"/>
          </w:tcPr>
          <w:p>
            <w:pPr>
              <w:autoSpaceDE w:val="0"/>
              <w:autoSpaceDN w:val="0"/>
              <w:adjustRightInd w:val="0"/>
              <w:snapToGrid w:val="0"/>
              <w:rPr>
                <w:szCs w:val="21"/>
              </w:rPr>
            </w:pPr>
            <w:r>
              <w:rPr>
                <w:rFonts w:hint="eastAsia"/>
                <w:szCs w:val="21"/>
              </w:rPr>
              <w:t>同上岗前</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061" w:type="dxa"/>
            <w:vMerge w:val="restart"/>
            <w:tcBorders>
              <w:left w:val="single" w:color="000000" w:sz="8" w:space="0"/>
            </w:tcBorders>
            <w:vAlign w:val="center"/>
          </w:tcPr>
          <w:p>
            <w:pPr>
              <w:autoSpaceDE w:val="0"/>
              <w:autoSpaceDN w:val="0"/>
              <w:adjustRightInd w:val="0"/>
              <w:snapToGrid w:val="0"/>
              <w:rPr>
                <w:szCs w:val="21"/>
              </w:rPr>
            </w:pPr>
            <w:r>
              <w:rPr>
                <w:rFonts w:hint="eastAsia"/>
                <w:szCs w:val="21"/>
              </w:rPr>
              <w:t>一氧化碳</w:t>
            </w:r>
          </w:p>
        </w:tc>
        <w:tc>
          <w:tcPr>
            <w:tcW w:w="1056" w:type="dxa"/>
            <w:vAlign w:val="center"/>
          </w:tcPr>
          <w:p>
            <w:pPr>
              <w:autoSpaceDE w:val="0"/>
              <w:autoSpaceDN w:val="0"/>
              <w:adjustRightInd w:val="0"/>
              <w:snapToGrid w:val="0"/>
              <w:rPr>
                <w:szCs w:val="21"/>
              </w:rPr>
            </w:pPr>
            <w:r>
              <w:rPr>
                <w:rFonts w:hint="eastAsia"/>
                <w:szCs w:val="21"/>
              </w:rPr>
              <w:t>目标疾病</w:t>
            </w:r>
          </w:p>
        </w:tc>
        <w:tc>
          <w:tcPr>
            <w:tcW w:w="6804" w:type="dxa"/>
            <w:gridSpan w:val="2"/>
            <w:vAlign w:val="center"/>
          </w:tcPr>
          <w:p>
            <w:pPr>
              <w:autoSpaceDE w:val="0"/>
              <w:autoSpaceDN w:val="0"/>
              <w:adjustRightInd w:val="0"/>
              <w:snapToGrid w:val="0"/>
              <w:rPr>
                <w:szCs w:val="21"/>
              </w:rPr>
            </w:pPr>
            <w:r>
              <w:rPr>
                <w:rFonts w:hint="eastAsia"/>
                <w:szCs w:val="21"/>
              </w:rPr>
              <w:t>职业禁忌证：中枢神经系统器质性基本</w:t>
            </w:r>
          </w:p>
        </w:tc>
        <w:tc>
          <w:tcPr>
            <w:tcW w:w="1984" w:type="dxa"/>
            <w:vAlign w:val="center"/>
          </w:tcPr>
          <w:p>
            <w:pPr>
              <w:adjustRightInd w:val="0"/>
              <w:snapToGrid w:val="0"/>
              <w:rPr>
                <w:szCs w:val="21"/>
              </w:rPr>
            </w:pPr>
            <w:r>
              <w:rPr>
                <w:rFonts w:hint="eastAsia"/>
                <w:szCs w:val="21"/>
              </w:rPr>
              <w:t>职业性急性一氧化碳中毒</w:t>
            </w:r>
          </w:p>
        </w:tc>
        <w:tc>
          <w:tcPr>
            <w:tcW w:w="1758" w:type="dxa"/>
            <w:vAlign w:val="center"/>
          </w:tcPr>
          <w:p>
            <w:pPr>
              <w:autoSpaceDE w:val="0"/>
              <w:autoSpaceDN w:val="0"/>
              <w:adjustRightInd w:val="0"/>
              <w:snapToGrid w:val="0"/>
              <w:rPr>
                <w:szCs w:val="21"/>
              </w:rPr>
            </w:pPr>
            <w:r>
              <w:rPr>
                <w:rFonts w:hint="eastAsia"/>
                <w:szCs w:val="21"/>
              </w:rPr>
              <w:t>---</w:t>
            </w:r>
          </w:p>
        </w:tc>
        <w:tc>
          <w:tcPr>
            <w:tcW w:w="1507" w:type="dxa"/>
            <w:vMerge w:val="restart"/>
            <w:tcBorders>
              <w:right w:val="single" w:color="000000" w:sz="8" w:space="0"/>
            </w:tcBorders>
            <w:vAlign w:val="center"/>
          </w:tcPr>
          <w:p>
            <w:pPr>
              <w:autoSpaceDE w:val="0"/>
              <w:autoSpaceDN w:val="0"/>
              <w:adjustRightInd w:val="0"/>
              <w:snapToGrid w:val="0"/>
              <w:rPr>
                <w:szCs w:val="21"/>
              </w:rPr>
            </w:pPr>
            <w:r>
              <w:rPr>
                <w:rFonts w:hint="eastAsia"/>
                <w:szCs w:val="21"/>
              </w:rPr>
              <w:t>在岗期间职业健康检查周期：3年</w:t>
            </w: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必检项目</w:t>
            </w:r>
          </w:p>
        </w:tc>
        <w:tc>
          <w:tcPr>
            <w:tcW w:w="6804" w:type="dxa"/>
            <w:gridSpan w:val="2"/>
            <w:vAlign w:val="center"/>
          </w:tcPr>
          <w:p>
            <w:pPr>
              <w:autoSpaceDE w:val="0"/>
              <w:autoSpaceDN w:val="0"/>
              <w:adjustRightInd w:val="0"/>
              <w:snapToGrid w:val="0"/>
              <w:rPr>
                <w:szCs w:val="21"/>
              </w:rPr>
            </w:pPr>
            <w:r>
              <w:rPr>
                <w:rFonts w:hint="eastAsia"/>
                <w:szCs w:val="21"/>
              </w:rPr>
              <w:t>血常规、尿常规、血清ALT、心电图</w:t>
            </w:r>
          </w:p>
        </w:tc>
        <w:tc>
          <w:tcPr>
            <w:tcW w:w="1984" w:type="dxa"/>
            <w:vAlign w:val="center"/>
          </w:tcPr>
          <w:p>
            <w:pPr>
              <w:adjustRightInd w:val="0"/>
              <w:snapToGrid w:val="0"/>
              <w:rPr>
                <w:szCs w:val="21"/>
              </w:rPr>
            </w:pPr>
            <w:r>
              <w:rPr>
                <w:rFonts w:hint="eastAsia"/>
                <w:szCs w:val="21"/>
              </w:rPr>
              <w:t>血常规、尿常规、心电图、血碳氧血红蛋白、血氧饱和度</w:t>
            </w:r>
          </w:p>
        </w:tc>
        <w:tc>
          <w:tcPr>
            <w:tcW w:w="1758" w:type="dxa"/>
            <w:vAlign w:val="center"/>
          </w:tcPr>
          <w:p>
            <w:pPr>
              <w:autoSpaceDE w:val="0"/>
              <w:autoSpaceDN w:val="0"/>
              <w:adjustRightInd w:val="0"/>
              <w:snapToGrid w:val="0"/>
              <w:rPr>
                <w:szCs w:val="21"/>
              </w:rPr>
            </w:pPr>
            <w:r>
              <w:rPr>
                <w:rFonts w:hint="eastAsia"/>
                <w:szCs w:val="21"/>
              </w:rPr>
              <w:t>---</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061" w:type="dxa"/>
            <w:vMerge w:val="restart"/>
            <w:tcBorders>
              <w:left w:val="single" w:color="000000" w:sz="8" w:space="0"/>
            </w:tcBorders>
            <w:vAlign w:val="center"/>
          </w:tcPr>
          <w:p>
            <w:pPr>
              <w:autoSpaceDE w:val="0"/>
              <w:autoSpaceDN w:val="0"/>
              <w:adjustRightInd w:val="0"/>
              <w:snapToGrid w:val="0"/>
              <w:rPr>
                <w:szCs w:val="21"/>
              </w:rPr>
            </w:pPr>
            <w:r>
              <w:rPr>
                <w:rFonts w:hint="eastAsia"/>
                <w:szCs w:val="21"/>
              </w:rPr>
              <w:t>酸酐、酸雾</w:t>
            </w:r>
          </w:p>
        </w:tc>
        <w:tc>
          <w:tcPr>
            <w:tcW w:w="1056" w:type="dxa"/>
            <w:vAlign w:val="center"/>
          </w:tcPr>
          <w:p>
            <w:pPr>
              <w:autoSpaceDE w:val="0"/>
              <w:autoSpaceDN w:val="0"/>
              <w:adjustRightInd w:val="0"/>
              <w:snapToGrid w:val="0"/>
              <w:rPr>
                <w:szCs w:val="21"/>
              </w:rPr>
            </w:pPr>
            <w:r>
              <w:rPr>
                <w:rFonts w:hint="eastAsia"/>
                <w:szCs w:val="21"/>
              </w:rPr>
              <w:t>目标疾病</w:t>
            </w:r>
          </w:p>
        </w:tc>
        <w:tc>
          <w:tcPr>
            <w:tcW w:w="2693" w:type="dxa"/>
            <w:vAlign w:val="center"/>
          </w:tcPr>
          <w:p>
            <w:pPr>
              <w:autoSpaceDE w:val="0"/>
              <w:autoSpaceDN w:val="0"/>
              <w:adjustRightInd w:val="0"/>
              <w:snapToGrid w:val="0"/>
              <w:rPr>
                <w:szCs w:val="21"/>
              </w:rPr>
            </w:pPr>
            <w:r>
              <w:rPr>
                <w:rFonts w:hint="eastAsia"/>
                <w:szCs w:val="21"/>
              </w:rPr>
              <w:t>职业禁忌证：牙酸蚀病、慢性阻塞性肺病、支气管哮喘</w:t>
            </w:r>
          </w:p>
        </w:tc>
        <w:tc>
          <w:tcPr>
            <w:tcW w:w="4111" w:type="dxa"/>
            <w:vAlign w:val="center"/>
          </w:tcPr>
          <w:p>
            <w:pPr>
              <w:autoSpaceDE w:val="0"/>
              <w:autoSpaceDN w:val="0"/>
              <w:adjustRightInd w:val="0"/>
              <w:snapToGrid w:val="0"/>
              <w:rPr>
                <w:szCs w:val="21"/>
              </w:rPr>
            </w:pPr>
            <w:r>
              <w:rPr>
                <w:rFonts w:hint="eastAsia"/>
                <w:szCs w:val="21"/>
              </w:rPr>
              <w:t>职业病：职业性牙酸蚀病、职业性接触性皮炎、职业性哮喘；</w:t>
            </w:r>
          </w:p>
          <w:p>
            <w:pPr>
              <w:autoSpaceDE w:val="0"/>
              <w:autoSpaceDN w:val="0"/>
              <w:adjustRightInd w:val="0"/>
              <w:snapToGrid w:val="0"/>
              <w:rPr>
                <w:szCs w:val="21"/>
              </w:rPr>
            </w:pPr>
            <w:r>
              <w:rPr>
                <w:rFonts w:hint="eastAsia"/>
                <w:szCs w:val="21"/>
              </w:rPr>
              <w:t>职业禁忌证：慢性阻塞性肺病</w:t>
            </w:r>
          </w:p>
        </w:tc>
        <w:tc>
          <w:tcPr>
            <w:tcW w:w="1984" w:type="dxa"/>
            <w:vAlign w:val="center"/>
          </w:tcPr>
          <w:p>
            <w:pPr>
              <w:adjustRightInd w:val="0"/>
              <w:snapToGrid w:val="0"/>
              <w:rPr>
                <w:szCs w:val="21"/>
              </w:rPr>
            </w:pPr>
            <w:r>
              <w:rPr>
                <w:rFonts w:hint="eastAsia"/>
                <w:szCs w:val="21"/>
              </w:rPr>
              <w:t>职业性化学性眼灼伤、职业性皮肤灼伤、职业性急性化学物中毒性呼吸系统疾病</w:t>
            </w:r>
          </w:p>
        </w:tc>
        <w:tc>
          <w:tcPr>
            <w:tcW w:w="1758" w:type="dxa"/>
            <w:vAlign w:val="center"/>
          </w:tcPr>
          <w:p>
            <w:pPr>
              <w:autoSpaceDE w:val="0"/>
              <w:autoSpaceDN w:val="0"/>
              <w:adjustRightInd w:val="0"/>
              <w:snapToGrid w:val="0"/>
              <w:rPr>
                <w:szCs w:val="21"/>
              </w:rPr>
            </w:pPr>
            <w:r>
              <w:rPr>
                <w:rFonts w:hint="eastAsia"/>
                <w:szCs w:val="21"/>
              </w:rPr>
              <w:t>同在岗期间</w:t>
            </w:r>
          </w:p>
        </w:tc>
        <w:tc>
          <w:tcPr>
            <w:tcW w:w="1507" w:type="dxa"/>
            <w:vMerge w:val="restart"/>
            <w:tcBorders>
              <w:right w:val="single" w:color="000000" w:sz="8" w:space="0"/>
            </w:tcBorders>
            <w:vAlign w:val="center"/>
          </w:tcPr>
          <w:p>
            <w:pPr>
              <w:autoSpaceDE w:val="0"/>
              <w:autoSpaceDN w:val="0"/>
              <w:adjustRightInd w:val="0"/>
              <w:snapToGrid w:val="0"/>
              <w:rPr>
                <w:szCs w:val="21"/>
              </w:rPr>
            </w:pPr>
            <w:r>
              <w:rPr>
                <w:rFonts w:hint="eastAsia"/>
                <w:szCs w:val="21"/>
              </w:rPr>
              <w:t>在岗期间职业健康检查周期：2年</w:t>
            </w: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必检项目</w:t>
            </w:r>
          </w:p>
        </w:tc>
        <w:tc>
          <w:tcPr>
            <w:tcW w:w="2693" w:type="dxa"/>
            <w:vAlign w:val="center"/>
          </w:tcPr>
          <w:p>
            <w:pPr>
              <w:autoSpaceDE w:val="0"/>
              <w:autoSpaceDN w:val="0"/>
              <w:adjustRightInd w:val="0"/>
              <w:snapToGrid w:val="0"/>
              <w:rPr>
                <w:szCs w:val="21"/>
              </w:rPr>
            </w:pPr>
            <w:r>
              <w:rPr>
                <w:rFonts w:hint="eastAsia"/>
                <w:szCs w:val="21"/>
              </w:rPr>
              <w:t>血常规、尿常规、血清ALT、心电图、肺功能、胸部X射线摄片</w:t>
            </w:r>
          </w:p>
        </w:tc>
        <w:tc>
          <w:tcPr>
            <w:tcW w:w="4111" w:type="dxa"/>
            <w:vAlign w:val="center"/>
          </w:tcPr>
          <w:p>
            <w:pPr>
              <w:autoSpaceDE w:val="0"/>
              <w:autoSpaceDN w:val="0"/>
              <w:adjustRightInd w:val="0"/>
              <w:snapToGrid w:val="0"/>
              <w:rPr>
                <w:szCs w:val="21"/>
              </w:rPr>
            </w:pPr>
            <w:r>
              <w:rPr>
                <w:rFonts w:hint="eastAsia"/>
                <w:szCs w:val="21"/>
              </w:rPr>
              <w:t>肺功能、胸部X射线摄片</w:t>
            </w:r>
          </w:p>
        </w:tc>
        <w:tc>
          <w:tcPr>
            <w:tcW w:w="1984" w:type="dxa"/>
            <w:vAlign w:val="center"/>
          </w:tcPr>
          <w:p>
            <w:pPr>
              <w:adjustRightInd w:val="0"/>
              <w:snapToGrid w:val="0"/>
              <w:rPr>
                <w:szCs w:val="21"/>
              </w:rPr>
            </w:pPr>
            <w:r>
              <w:rPr>
                <w:rFonts w:hint="eastAsia"/>
                <w:szCs w:val="21"/>
              </w:rPr>
              <w:t>血常规、尿常规、心电图、血氧饱和度、胸部X射线摄片</w:t>
            </w:r>
          </w:p>
        </w:tc>
        <w:tc>
          <w:tcPr>
            <w:tcW w:w="1758" w:type="dxa"/>
            <w:vAlign w:val="center"/>
          </w:tcPr>
          <w:p>
            <w:pPr>
              <w:autoSpaceDE w:val="0"/>
              <w:autoSpaceDN w:val="0"/>
              <w:adjustRightInd w:val="0"/>
              <w:snapToGrid w:val="0"/>
              <w:rPr>
                <w:szCs w:val="21"/>
              </w:rPr>
            </w:pPr>
            <w:r>
              <w:rPr>
                <w:rFonts w:hint="eastAsia"/>
                <w:szCs w:val="21"/>
              </w:rPr>
              <w:t>同在岗期间</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选检项目</w:t>
            </w:r>
          </w:p>
        </w:tc>
        <w:tc>
          <w:tcPr>
            <w:tcW w:w="2693" w:type="dxa"/>
            <w:vAlign w:val="center"/>
          </w:tcPr>
          <w:p>
            <w:pPr>
              <w:autoSpaceDE w:val="0"/>
              <w:autoSpaceDN w:val="0"/>
              <w:adjustRightInd w:val="0"/>
              <w:snapToGrid w:val="0"/>
              <w:rPr>
                <w:szCs w:val="21"/>
              </w:rPr>
            </w:pPr>
            <w:r>
              <w:rPr>
                <w:rFonts w:hint="eastAsia"/>
                <w:szCs w:val="21"/>
              </w:rPr>
              <w:t>---</w:t>
            </w:r>
          </w:p>
        </w:tc>
        <w:tc>
          <w:tcPr>
            <w:tcW w:w="4111" w:type="dxa"/>
            <w:vAlign w:val="center"/>
          </w:tcPr>
          <w:p>
            <w:pPr>
              <w:autoSpaceDE w:val="0"/>
              <w:autoSpaceDN w:val="0"/>
              <w:adjustRightInd w:val="0"/>
              <w:snapToGrid w:val="0"/>
              <w:rPr>
                <w:szCs w:val="21"/>
              </w:rPr>
            </w:pPr>
            <w:r>
              <w:rPr>
                <w:rFonts w:hint="eastAsia"/>
                <w:szCs w:val="21"/>
              </w:rPr>
              <w:t>牙齿X射线摄片等</w:t>
            </w:r>
          </w:p>
        </w:tc>
        <w:tc>
          <w:tcPr>
            <w:tcW w:w="1984" w:type="dxa"/>
            <w:vAlign w:val="center"/>
          </w:tcPr>
          <w:p>
            <w:pPr>
              <w:adjustRightInd w:val="0"/>
              <w:snapToGrid w:val="0"/>
              <w:rPr>
                <w:szCs w:val="21"/>
              </w:rPr>
            </w:pPr>
            <w:r>
              <w:rPr>
                <w:rFonts w:hint="eastAsia"/>
                <w:szCs w:val="21"/>
              </w:rPr>
              <w:t>血气分析</w:t>
            </w:r>
          </w:p>
        </w:tc>
        <w:tc>
          <w:tcPr>
            <w:tcW w:w="1758" w:type="dxa"/>
            <w:vAlign w:val="center"/>
          </w:tcPr>
          <w:p>
            <w:pPr>
              <w:autoSpaceDE w:val="0"/>
              <w:autoSpaceDN w:val="0"/>
              <w:adjustRightInd w:val="0"/>
              <w:snapToGrid w:val="0"/>
              <w:rPr>
                <w:szCs w:val="21"/>
              </w:rPr>
            </w:pPr>
            <w:r>
              <w:rPr>
                <w:rFonts w:hint="eastAsia"/>
                <w:szCs w:val="21"/>
              </w:rPr>
              <w:t>同在岗期间</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061" w:type="dxa"/>
            <w:vMerge w:val="restart"/>
            <w:tcBorders>
              <w:left w:val="single" w:color="000000" w:sz="8" w:space="0"/>
            </w:tcBorders>
            <w:vAlign w:val="center"/>
          </w:tcPr>
          <w:p>
            <w:pPr>
              <w:autoSpaceDE w:val="0"/>
              <w:autoSpaceDN w:val="0"/>
              <w:adjustRightInd w:val="0"/>
              <w:snapToGrid w:val="0"/>
              <w:rPr>
                <w:szCs w:val="21"/>
              </w:rPr>
            </w:pPr>
            <w:r>
              <w:rPr>
                <w:rFonts w:hint="eastAsia"/>
                <w:szCs w:val="21"/>
              </w:rPr>
              <w:t>苯（甲苯、二甲苯参照执行）</w:t>
            </w:r>
          </w:p>
        </w:tc>
        <w:tc>
          <w:tcPr>
            <w:tcW w:w="1056" w:type="dxa"/>
            <w:vAlign w:val="center"/>
          </w:tcPr>
          <w:p>
            <w:pPr>
              <w:autoSpaceDE w:val="0"/>
              <w:autoSpaceDN w:val="0"/>
              <w:adjustRightInd w:val="0"/>
              <w:snapToGrid w:val="0"/>
              <w:rPr>
                <w:szCs w:val="21"/>
              </w:rPr>
            </w:pPr>
            <w:r>
              <w:rPr>
                <w:rFonts w:hint="eastAsia"/>
                <w:szCs w:val="21"/>
              </w:rPr>
              <w:t>目标疾病</w:t>
            </w:r>
          </w:p>
        </w:tc>
        <w:tc>
          <w:tcPr>
            <w:tcW w:w="2693" w:type="dxa"/>
            <w:vAlign w:val="center"/>
          </w:tcPr>
          <w:p>
            <w:pPr>
              <w:adjustRightInd w:val="0"/>
              <w:snapToGrid w:val="0"/>
              <w:rPr>
                <w:szCs w:val="21"/>
              </w:rPr>
            </w:pPr>
            <w:r>
              <w:rPr>
                <w:rFonts w:hint="eastAsia"/>
                <w:szCs w:val="21"/>
              </w:rPr>
              <w:t xml:space="preserve">职业禁忌证：a)血常规检出有如下异常者： </w:t>
            </w:r>
          </w:p>
          <w:p>
            <w:pPr>
              <w:adjustRightInd w:val="0"/>
              <w:snapToGrid w:val="0"/>
              <w:rPr>
                <w:szCs w:val="21"/>
              </w:rPr>
            </w:pPr>
            <w:r>
              <w:rPr>
                <w:rFonts w:hint="eastAsia"/>
                <w:szCs w:val="21"/>
              </w:rPr>
              <w:t>1)白细胞计数低于4×l0</w:t>
            </w:r>
            <w:r>
              <w:rPr>
                <w:rFonts w:hint="eastAsia"/>
                <w:szCs w:val="21"/>
                <w:vertAlign w:val="superscript"/>
              </w:rPr>
              <w:t xml:space="preserve"> 9</w:t>
            </w:r>
            <w:r>
              <w:rPr>
                <w:rFonts w:hint="eastAsia"/>
                <w:szCs w:val="21"/>
              </w:rPr>
              <w:t>/L或中性粒细胞低于2×10</w:t>
            </w:r>
            <w:r>
              <w:rPr>
                <w:rFonts w:hint="eastAsia"/>
                <w:szCs w:val="21"/>
                <w:vertAlign w:val="superscript"/>
              </w:rPr>
              <w:t>9</w:t>
            </w:r>
            <w:r>
              <w:rPr>
                <w:rFonts w:hint="eastAsia"/>
                <w:szCs w:val="21"/>
              </w:rPr>
              <w:t>/L,</w:t>
            </w:r>
          </w:p>
          <w:p>
            <w:pPr>
              <w:adjustRightInd w:val="0"/>
              <w:snapToGrid w:val="0"/>
              <w:rPr>
                <w:szCs w:val="21"/>
              </w:rPr>
            </w:pPr>
            <w:r>
              <w:rPr>
                <w:rFonts w:hint="eastAsia"/>
                <w:szCs w:val="21"/>
              </w:rPr>
              <w:t>2)血小板计数低于8×lO</w:t>
            </w:r>
            <w:r>
              <w:rPr>
                <w:rFonts w:hint="eastAsia"/>
                <w:szCs w:val="21"/>
                <w:vertAlign w:val="superscript"/>
              </w:rPr>
              <w:t>10</w:t>
            </w:r>
            <w:r>
              <w:rPr>
                <w:rFonts w:hint="eastAsia"/>
                <w:szCs w:val="21"/>
              </w:rPr>
              <w:t>/L。b)造血系统疾病。</w:t>
            </w:r>
          </w:p>
        </w:tc>
        <w:tc>
          <w:tcPr>
            <w:tcW w:w="4111" w:type="dxa"/>
            <w:vAlign w:val="center"/>
          </w:tcPr>
          <w:p>
            <w:pPr>
              <w:adjustRightInd w:val="0"/>
              <w:snapToGrid w:val="0"/>
              <w:rPr>
                <w:szCs w:val="21"/>
              </w:rPr>
            </w:pPr>
            <w:r>
              <w:rPr>
                <w:rFonts w:hint="eastAsia"/>
                <w:szCs w:val="21"/>
              </w:rPr>
              <w:t>职业病：1)职业性慢性苯中毒2)职业性苯所致白血病</w:t>
            </w:r>
          </w:p>
          <w:p>
            <w:pPr>
              <w:adjustRightInd w:val="0"/>
              <w:snapToGrid w:val="0"/>
              <w:rPr>
                <w:szCs w:val="21"/>
              </w:rPr>
            </w:pPr>
            <w:r>
              <w:rPr>
                <w:rFonts w:hint="eastAsia"/>
                <w:szCs w:val="21"/>
              </w:rPr>
              <w:t>职业禁忌证：造血系统疾病。</w:t>
            </w:r>
          </w:p>
        </w:tc>
        <w:tc>
          <w:tcPr>
            <w:tcW w:w="1984" w:type="dxa"/>
            <w:vAlign w:val="center"/>
          </w:tcPr>
          <w:p>
            <w:pPr>
              <w:adjustRightInd w:val="0"/>
              <w:snapToGrid w:val="0"/>
              <w:rPr>
                <w:szCs w:val="21"/>
              </w:rPr>
            </w:pPr>
            <w:r>
              <w:rPr>
                <w:rFonts w:hint="eastAsia"/>
                <w:szCs w:val="21"/>
              </w:rPr>
              <w:t>职业性急性苯中毒</w:t>
            </w:r>
          </w:p>
        </w:tc>
        <w:tc>
          <w:tcPr>
            <w:tcW w:w="1758" w:type="dxa"/>
            <w:vAlign w:val="center"/>
          </w:tcPr>
          <w:p>
            <w:pPr>
              <w:adjustRightInd w:val="0"/>
              <w:snapToGrid w:val="0"/>
              <w:rPr>
                <w:szCs w:val="21"/>
              </w:rPr>
            </w:pPr>
            <w:r>
              <w:rPr>
                <w:rFonts w:hint="eastAsia"/>
                <w:szCs w:val="21"/>
              </w:rPr>
              <w:t>职业病：a)职业性慢性苯中毒；b)职业性苯所致白血病。</w:t>
            </w:r>
          </w:p>
        </w:tc>
        <w:tc>
          <w:tcPr>
            <w:tcW w:w="1507" w:type="dxa"/>
            <w:vMerge w:val="restart"/>
            <w:tcBorders>
              <w:right w:val="single" w:color="000000" w:sz="8" w:space="0"/>
            </w:tcBorders>
            <w:vAlign w:val="center"/>
          </w:tcPr>
          <w:p>
            <w:pPr>
              <w:autoSpaceDE w:val="0"/>
              <w:autoSpaceDN w:val="0"/>
              <w:adjustRightInd w:val="0"/>
              <w:snapToGrid w:val="0"/>
              <w:rPr>
                <w:szCs w:val="21"/>
              </w:rPr>
            </w:pPr>
            <w:r>
              <w:rPr>
                <w:rFonts w:hint="eastAsia"/>
                <w:szCs w:val="21"/>
              </w:rPr>
              <w:t>在岗期间职业健康检查周期：1年</w:t>
            </w: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必检项目</w:t>
            </w:r>
          </w:p>
        </w:tc>
        <w:tc>
          <w:tcPr>
            <w:tcW w:w="2693" w:type="dxa"/>
            <w:vAlign w:val="center"/>
          </w:tcPr>
          <w:p>
            <w:pPr>
              <w:adjustRightInd w:val="0"/>
              <w:snapToGrid w:val="0"/>
              <w:rPr>
                <w:szCs w:val="21"/>
              </w:rPr>
            </w:pPr>
            <w:r>
              <w:rPr>
                <w:rFonts w:hint="eastAsia"/>
                <w:szCs w:val="21"/>
              </w:rPr>
              <w:t>血常规、尿常规、血清ALT、心电图、肝脾B超。</w:t>
            </w:r>
          </w:p>
        </w:tc>
        <w:tc>
          <w:tcPr>
            <w:tcW w:w="4111" w:type="dxa"/>
            <w:vAlign w:val="center"/>
          </w:tcPr>
          <w:p>
            <w:pPr>
              <w:adjustRightInd w:val="0"/>
              <w:snapToGrid w:val="0"/>
              <w:rPr>
                <w:szCs w:val="21"/>
              </w:rPr>
            </w:pPr>
            <w:r>
              <w:rPr>
                <w:rFonts w:hint="eastAsia"/>
                <w:szCs w:val="21"/>
              </w:rPr>
              <w:t>血常规（注意细胞形态及分类）、尿常规、心电图、血清ALT、肝脾B超；</w:t>
            </w:r>
          </w:p>
        </w:tc>
        <w:tc>
          <w:tcPr>
            <w:tcW w:w="1984" w:type="dxa"/>
            <w:vAlign w:val="center"/>
          </w:tcPr>
          <w:p>
            <w:pPr>
              <w:adjustRightInd w:val="0"/>
              <w:snapToGrid w:val="0"/>
              <w:rPr>
                <w:szCs w:val="21"/>
              </w:rPr>
            </w:pPr>
            <w:r>
              <w:rPr>
                <w:rFonts w:hint="eastAsia"/>
                <w:szCs w:val="21"/>
              </w:rPr>
              <w:t>血常规、尿常规、心电图、肝功能、肝脾B超；</w:t>
            </w:r>
          </w:p>
        </w:tc>
        <w:tc>
          <w:tcPr>
            <w:tcW w:w="1758" w:type="dxa"/>
            <w:vAlign w:val="center"/>
          </w:tcPr>
          <w:p>
            <w:pPr>
              <w:adjustRightInd w:val="0"/>
              <w:snapToGrid w:val="0"/>
              <w:rPr>
                <w:szCs w:val="21"/>
              </w:rPr>
            </w:pPr>
            <w:r>
              <w:rPr>
                <w:rFonts w:hint="eastAsia"/>
                <w:szCs w:val="21"/>
              </w:rPr>
              <w:t>同在岗期间</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选检项目</w:t>
            </w:r>
          </w:p>
        </w:tc>
        <w:tc>
          <w:tcPr>
            <w:tcW w:w="2693" w:type="dxa"/>
            <w:vAlign w:val="center"/>
          </w:tcPr>
          <w:p>
            <w:pPr>
              <w:adjustRightInd w:val="0"/>
              <w:snapToGrid w:val="0"/>
              <w:rPr>
                <w:szCs w:val="21"/>
              </w:rPr>
            </w:pPr>
            <w:r>
              <w:rPr>
                <w:rFonts w:hint="eastAsia"/>
                <w:szCs w:val="21"/>
              </w:rPr>
              <w:t>——</w:t>
            </w:r>
          </w:p>
        </w:tc>
        <w:tc>
          <w:tcPr>
            <w:tcW w:w="4111" w:type="dxa"/>
            <w:vAlign w:val="center"/>
          </w:tcPr>
          <w:p>
            <w:pPr>
              <w:adjustRightInd w:val="0"/>
              <w:snapToGrid w:val="0"/>
              <w:rPr>
                <w:szCs w:val="21"/>
              </w:rPr>
            </w:pPr>
            <w:r>
              <w:rPr>
                <w:rFonts w:hint="eastAsia"/>
                <w:szCs w:val="21"/>
              </w:rPr>
              <w:t>尿反反粘糠酸测定、尿酚、骨髓穿刺。</w:t>
            </w:r>
          </w:p>
        </w:tc>
        <w:tc>
          <w:tcPr>
            <w:tcW w:w="1984" w:type="dxa"/>
            <w:vAlign w:val="center"/>
          </w:tcPr>
          <w:p>
            <w:pPr>
              <w:adjustRightInd w:val="0"/>
              <w:snapToGrid w:val="0"/>
              <w:rPr>
                <w:szCs w:val="21"/>
              </w:rPr>
            </w:pPr>
            <w:r>
              <w:rPr>
                <w:rFonts w:hint="eastAsia"/>
                <w:szCs w:val="21"/>
              </w:rPr>
              <w:t>尿反一反粘糠酸、尿酚、脑电图、头颅CT或MRI</w:t>
            </w:r>
          </w:p>
        </w:tc>
        <w:tc>
          <w:tcPr>
            <w:tcW w:w="1758" w:type="dxa"/>
            <w:vAlign w:val="center"/>
          </w:tcPr>
          <w:p>
            <w:pPr>
              <w:adjustRightInd w:val="0"/>
              <w:snapToGrid w:val="0"/>
              <w:rPr>
                <w:szCs w:val="21"/>
              </w:rPr>
            </w:pPr>
            <w:r>
              <w:rPr>
                <w:rFonts w:hint="eastAsia"/>
                <w:szCs w:val="21"/>
              </w:rPr>
              <w:t>同在岗期间</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32" w:hRule="atLeast"/>
          <w:jc w:val="center"/>
        </w:trPr>
        <w:tc>
          <w:tcPr>
            <w:tcW w:w="1061" w:type="dxa"/>
            <w:vMerge w:val="restart"/>
            <w:tcBorders>
              <w:left w:val="single" w:color="000000" w:sz="8" w:space="0"/>
            </w:tcBorders>
            <w:vAlign w:val="center"/>
          </w:tcPr>
          <w:p>
            <w:pPr>
              <w:autoSpaceDE w:val="0"/>
              <w:autoSpaceDN w:val="0"/>
              <w:adjustRightInd w:val="0"/>
              <w:snapToGrid w:val="0"/>
              <w:rPr>
                <w:szCs w:val="21"/>
              </w:rPr>
            </w:pPr>
            <w:r>
              <w:rPr>
                <w:rFonts w:hint="eastAsia"/>
                <w:szCs w:val="21"/>
              </w:rPr>
              <w:t>电工作业</w:t>
            </w:r>
          </w:p>
        </w:tc>
        <w:tc>
          <w:tcPr>
            <w:tcW w:w="1056" w:type="dxa"/>
            <w:vAlign w:val="center"/>
          </w:tcPr>
          <w:p>
            <w:pPr>
              <w:autoSpaceDE w:val="0"/>
              <w:autoSpaceDN w:val="0"/>
              <w:adjustRightInd w:val="0"/>
              <w:snapToGrid w:val="0"/>
              <w:rPr>
                <w:szCs w:val="21"/>
              </w:rPr>
            </w:pPr>
            <w:r>
              <w:rPr>
                <w:rFonts w:hint="eastAsia"/>
                <w:szCs w:val="21"/>
              </w:rPr>
              <w:t>目标疾病</w:t>
            </w:r>
          </w:p>
        </w:tc>
        <w:tc>
          <w:tcPr>
            <w:tcW w:w="6804" w:type="dxa"/>
            <w:gridSpan w:val="2"/>
            <w:vAlign w:val="center"/>
          </w:tcPr>
          <w:p>
            <w:pPr>
              <w:autoSpaceDE w:val="0"/>
              <w:autoSpaceDN w:val="0"/>
              <w:adjustRightInd w:val="0"/>
              <w:snapToGrid w:val="0"/>
              <w:rPr>
                <w:szCs w:val="21"/>
              </w:rPr>
            </w:pPr>
            <w:r>
              <w:rPr>
                <w:rFonts w:hint="eastAsia"/>
                <w:szCs w:val="21"/>
              </w:rPr>
              <w:t>职业禁忌证：</w:t>
            </w:r>
          </w:p>
          <w:p>
            <w:pPr>
              <w:autoSpaceDE w:val="0"/>
              <w:autoSpaceDN w:val="0"/>
              <w:adjustRightInd w:val="0"/>
              <w:snapToGrid w:val="0"/>
              <w:rPr>
                <w:szCs w:val="21"/>
              </w:rPr>
            </w:pPr>
            <w:r>
              <w:rPr>
                <w:rFonts w:hint="eastAsia"/>
                <w:szCs w:val="21"/>
              </w:rPr>
              <w:t>(1)癫痫</w:t>
            </w:r>
            <w:r>
              <w:rPr>
                <w:szCs w:val="21"/>
              </w:rPr>
              <w:t>,</w:t>
            </w:r>
            <w:r>
              <w:rPr>
                <w:rFonts w:hint="eastAsia"/>
                <w:szCs w:val="21"/>
              </w:rPr>
              <w:t>(2)晕厥（近一年内有晕厥发作史），(3)2级及以上高血压（未控制），(4)红绿色盲，</w:t>
            </w:r>
            <w:r>
              <w:rPr>
                <w:szCs w:val="21"/>
              </w:rPr>
              <w:t>(5)</w:t>
            </w:r>
            <w:r>
              <w:rPr>
                <w:rFonts w:hint="eastAsia"/>
                <w:szCs w:val="21"/>
              </w:rPr>
              <w:t>器质性心脏病或各种心律失常，(</w:t>
            </w:r>
            <w:r>
              <w:rPr>
                <w:szCs w:val="21"/>
              </w:rPr>
              <w:t>6)</w:t>
            </w:r>
            <w:r>
              <w:rPr>
                <w:rFonts w:hint="eastAsia"/>
                <w:szCs w:val="21"/>
              </w:rPr>
              <w:t>四肢关节运动功能障碍</w:t>
            </w:r>
          </w:p>
        </w:tc>
        <w:tc>
          <w:tcPr>
            <w:tcW w:w="1984" w:type="dxa"/>
            <w:vAlign w:val="center"/>
          </w:tcPr>
          <w:p>
            <w:pPr>
              <w:autoSpaceDE w:val="0"/>
              <w:autoSpaceDN w:val="0"/>
              <w:adjustRightInd w:val="0"/>
              <w:snapToGrid w:val="0"/>
              <w:rPr>
                <w:szCs w:val="21"/>
              </w:rPr>
            </w:pPr>
            <w:r>
              <w:rPr>
                <w:rFonts w:hint="eastAsia"/>
                <w:szCs w:val="21"/>
              </w:rPr>
              <w:t>---</w:t>
            </w:r>
          </w:p>
        </w:tc>
        <w:tc>
          <w:tcPr>
            <w:tcW w:w="1758" w:type="dxa"/>
            <w:vAlign w:val="center"/>
          </w:tcPr>
          <w:p>
            <w:pPr>
              <w:autoSpaceDE w:val="0"/>
              <w:autoSpaceDN w:val="0"/>
              <w:adjustRightInd w:val="0"/>
              <w:snapToGrid w:val="0"/>
              <w:rPr>
                <w:szCs w:val="21"/>
              </w:rPr>
            </w:pPr>
            <w:r>
              <w:rPr>
                <w:rFonts w:hint="eastAsia"/>
                <w:szCs w:val="21"/>
              </w:rPr>
              <w:t>---</w:t>
            </w:r>
          </w:p>
        </w:tc>
        <w:tc>
          <w:tcPr>
            <w:tcW w:w="1507" w:type="dxa"/>
            <w:vMerge w:val="restart"/>
            <w:tcBorders>
              <w:right w:val="single" w:color="000000" w:sz="8" w:space="0"/>
            </w:tcBorders>
            <w:vAlign w:val="center"/>
          </w:tcPr>
          <w:p>
            <w:pPr>
              <w:autoSpaceDE w:val="0"/>
              <w:autoSpaceDN w:val="0"/>
              <w:adjustRightInd w:val="0"/>
              <w:snapToGrid w:val="0"/>
              <w:rPr>
                <w:szCs w:val="21"/>
              </w:rPr>
            </w:pPr>
            <w:r>
              <w:rPr>
                <w:rFonts w:hint="eastAsia"/>
                <w:szCs w:val="21"/>
              </w:rPr>
              <w:t>在岗期间职业健康检查周期：2年</w:t>
            </w: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143" w:hRule="atLeast"/>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必检项目</w:t>
            </w:r>
          </w:p>
        </w:tc>
        <w:tc>
          <w:tcPr>
            <w:tcW w:w="6804" w:type="dxa"/>
            <w:gridSpan w:val="2"/>
            <w:vAlign w:val="center"/>
          </w:tcPr>
          <w:p>
            <w:pPr>
              <w:autoSpaceDE w:val="0"/>
              <w:autoSpaceDN w:val="0"/>
              <w:adjustRightInd w:val="0"/>
              <w:snapToGrid w:val="0"/>
              <w:rPr>
                <w:szCs w:val="21"/>
              </w:rPr>
            </w:pPr>
            <w:r>
              <w:rPr>
                <w:rFonts w:hint="eastAsia"/>
                <w:szCs w:val="21"/>
              </w:rPr>
              <w:t>血常规、尿常规、血清ALT、心电图</w:t>
            </w:r>
          </w:p>
        </w:tc>
        <w:tc>
          <w:tcPr>
            <w:tcW w:w="1984" w:type="dxa"/>
            <w:vAlign w:val="center"/>
          </w:tcPr>
          <w:p>
            <w:pPr>
              <w:autoSpaceDE w:val="0"/>
              <w:autoSpaceDN w:val="0"/>
              <w:adjustRightInd w:val="0"/>
              <w:snapToGrid w:val="0"/>
              <w:rPr>
                <w:szCs w:val="21"/>
              </w:rPr>
            </w:pPr>
            <w:r>
              <w:rPr>
                <w:rFonts w:hint="eastAsia"/>
                <w:szCs w:val="21"/>
              </w:rPr>
              <w:t>---</w:t>
            </w:r>
          </w:p>
        </w:tc>
        <w:tc>
          <w:tcPr>
            <w:tcW w:w="1758" w:type="dxa"/>
            <w:vAlign w:val="center"/>
          </w:tcPr>
          <w:p>
            <w:pPr>
              <w:autoSpaceDE w:val="0"/>
              <w:autoSpaceDN w:val="0"/>
              <w:adjustRightInd w:val="0"/>
              <w:snapToGrid w:val="0"/>
              <w:rPr>
                <w:szCs w:val="21"/>
              </w:rPr>
            </w:pPr>
            <w:r>
              <w:rPr>
                <w:rFonts w:hint="eastAsia"/>
                <w:szCs w:val="21"/>
              </w:rPr>
              <w:t>---</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选检项目</w:t>
            </w:r>
          </w:p>
        </w:tc>
        <w:tc>
          <w:tcPr>
            <w:tcW w:w="6804" w:type="dxa"/>
            <w:gridSpan w:val="2"/>
            <w:vAlign w:val="center"/>
          </w:tcPr>
          <w:p>
            <w:pPr>
              <w:autoSpaceDE w:val="0"/>
              <w:autoSpaceDN w:val="0"/>
              <w:adjustRightInd w:val="0"/>
              <w:snapToGrid w:val="0"/>
              <w:rPr>
                <w:szCs w:val="21"/>
              </w:rPr>
            </w:pPr>
            <w:r>
              <w:rPr>
                <w:rFonts w:hint="eastAsia"/>
                <w:szCs w:val="21"/>
              </w:rPr>
              <w:t>脑电图（有晕厥史）、动态心电图、心脏超声检查</w:t>
            </w:r>
          </w:p>
        </w:tc>
        <w:tc>
          <w:tcPr>
            <w:tcW w:w="1984" w:type="dxa"/>
            <w:vAlign w:val="center"/>
          </w:tcPr>
          <w:p>
            <w:pPr>
              <w:autoSpaceDE w:val="0"/>
              <w:autoSpaceDN w:val="0"/>
              <w:adjustRightInd w:val="0"/>
              <w:snapToGrid w:val="0"/>
              <w:rPr>
                <w:szCs w:val="21"/>
              </w:rPr>
            </w:pPr>
            <w:r>
              <w:rPr>
                <w:rFonts w:hint="eastAsia"/>
                <w:szCs w:val="21"/>
              </w:rPr>
              <w:t>---</w:t>
            </w:r>
          </w:p>
        </w:tc>
        <w:tc>
          <w:tcPr>
            <w:tcW w:w="1758" w:type="dxa"/>
            <w:vAlign w:val="center"/>
          </w:tcPr>
          <w:p>
            <w:pPr>
              <w:autoSpaceDE w:val="0"/>
              <w:autoSpaceDN w:val="0"/>
              <w:adjustRightInd w:val="0"/>
              <w:snapToGrid w:val="0"/>
              <w:rPr>
                <w:szCs w:val="21"/>
              </w:rPr>
            </w:pPr>
            <w:r>
              <w:rPr>
                <w:rFonts w:hint="eastAsia"/>
                <w:szCs w:val="21"/>
              </w:rPr>
              <w:t>---</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061" w:type="dxa"/>
            <w:vMerge w:val="restart"/>
            <w:tcBorders>
              <w:left w:val="single" w:color="000000" w:sz="8" w:space="0"/>
            </w:tcBorders>
            <w:vAlign w:val="center"/>
          </w:tcPr>
          <w:p>
            <w:pPr>
              <w:autoSpaceDE w:val="0"/>
              <w:autoSpaceDN w:val="0"/>
              <w:adjustRightInd w:val="0"/>
              <w:snapToGrid w:val="0"/>
              <w:rPr>
                <w:szCs w:val="21"/>
              </w:rPr>
            </w:pPr>
            <w:r>
              <w:rPr>
                <w:rFonts w:hint="eastAsia"/>
                <w:szCs w:val="21"/>
              </w:rPr>
              <w:t>矽尘</w:t>
            </w:r>
          </w:p>
        </w:tc>
        <w:tc>
          <w:tcPr>
            <w:tcW w:w="1056" w:type="dxa"/>
            <w:vAlign w:val="center"/>
          </w:tcPr>
          <w:p>
            <w:pPr>
              <w:autoSpaceDE w:val="0"/>
              <w:autoSpaceDN w:val="0"/>
              <w:adjustRightInd w:val="0"/>
              <w:snapToGrid w:val="0"/>
              <w:rPr>
                <w:szCs w:val="21"/>
              </w:rPr>
            </w:pPr>
            <w:r>
              <w:rPr>
                <w:rFonts w:hint="eastAsia"/>
                <w:szCs w:val="21"/>
              </w:rPr>
              <w:t>目标疾病</w:t>
            </w:r>
          </w:p>
        </w:tc>
        <w:tc>
          <w:tcPr>
            <w:tcW w:w="2693" w:type="dxa"/>
            <w:vAlign w:val="center"/>
          </w:tcPr>
          <w:p>
            <w:pPr>
              <w:adjustRightInd w:val="0"/>
              <w:snapToGrid w:val="0"/>
              <w:rPr>
                <w:szCs w:val="21"/>
              </w:rPr>
            </w:pPr>
            <w:r>
              <w:rPr>
                <w:rFonts w:hint="eastAsia"/>
                <w:szCs w:val="21"/>
              </w:rPr>
              <w:t>职业禁忌证：</w:t>
            </w:r>
          </w:p>
          <w:p>
            <w:pPr>
              <w:adjustRightInd w:val="0"/>
              <w:snapToGrid w:val="0"/>
              <w:rPr>
                <w:szCs w:val="21"/>
              </w:rPr>
            </w:pPr>
            <w:r>
              <w:rPr>
                <w:rFonts w:hint="eastAsia"/>
                <w:szCs w:val="21"/>
              </w:rPr>
              <w:t>a)活动性肺结核病；</w:t>
            </w:r>
          </w:p>
          <w:p>
            <w:pPr>
              <w:adjustRightInd w:val="0"/>
              <w:snapToGrid w:val="0"/>
              <w:rPr>
                <w:szCs w:val="21"/>
              </w:rPr>
            </w:pPr>
            <w:r>
              <w:rPr>
                <w:rFonts w:hint="eastAsia"/>
                <w:szCs w:val="21"/>
              </w:rPr>
              <w:t>b)慢性阻塞性肺病；</w:t>
            </w:r>
          </w:p>
          <w:p>
            <w:pPr>
              <w:adjustRightInd w:val="0"/>
              <w:snapToGrid w:val="0"/>
              <w:rPr>
                <w:szCs w:val="21"/>
              </w:rPr>
            </w:pPr>
            <w:r>
              <w:rPr>
                <w:rFonts w:hint="eastAsia"/>
                <w:szCs w:val="21"/>
              </w:rPr>
              <w:t>c)慢性间质性肺病；</w:t>
            </w:r>
          </w:p>
          <w:p>
            <w:pPr>
              <w:autoSpaceDE w:val="0"/>
              <w:autoSpaceDN w:val="0"/>
              <w:adjustRightInd w:val="0"/>
              <w:snapToGrid w:val="0"/>
              <w:rPr>
                <w:szCs w:val="21"/>
              </w:rPr>
            </w:pPr>
            <w:r>
              <w:rPr>
                <w:rFonts w:hint="eastAsia"/>
                <w:szCs w:val="21"/>
              </w:rPr>
              <w:t>d)伴肺功能损害的疾病</w:t>
            </w:r>
          </w:p>
        </w:tc>
        <w:tc>
          <w:tcPr>
            <w:tcW w:w="4111" w:type="dxa"/>
            <w:vAlign w:val="center"/>
          </w:tcPr>
          <w:p>
            <w:pPr>
              <w:autoSpaceDE w:val="0"/>
              <w:autoSpaceDN w:val="0"/>
              <w:adjustRightInd w:val="0"/>
              <w:snapToGrid w:val="0"/>
              <w:rPr>
                <w:szCs w:val="21"/>
              </w:rPr>
            </w:pPr>
            <w:r>
              <w:rPr>
                <w:rFonts w:hint="eastAsia"/>
                <w:szCs w:val="21"/>
              </w:rPr>
              <w:t>a)矽肺</w:t>
            </w:r>
          </w:p>
          <w:p>
            <w:pPr>
              <w:autoSpaceDE w:val="0"/>
              <w:autoSpaceDN w:val="0"/>
              <w:adjustRightInd w:val="0"/>
              <w:snapToGrid w:val="0"/>
              <w:rPr>
                <w:szCs w:val="21"/>
              </w:rPr>
            </w:pPr>
            <w:r>
              <w:rPr>
                <w:rFonts w:hint="eastAsia"/>
                <w:szCs w:val="21"/>
              </w:rPr>
              <w:t>b)职业禁忌证：同上岗前</w:t>
            </w:r>
          </w:p>
        </w:tc>
        <w:tc>
          <w:tcPr>
            <w:tcW w:w="1984" w:type="dxa"/>
            <w:vAlign w:val="center"/>
          </w:tcPr>
          <w:p>
            <w:pPr>
              <w:autoSpaceDE w:val="0"/>
              <w:autoSpaceDN w:val="0"/>
              <w:adjustRightInd w:val="0"/>
              <w:snapToGrid w:val="0"/>
              <w:rPr>
                <w:szCs w:val="21"/>
              </w:rPr>
            </w:pPr>
            <w:r>
              <w:rPr>
                <w:rFonts w:hint="eastAsia"/>
                <w:szCs w:val="21"/>
              </w:rPr>
              <w:t>——</w:t>
            </w:r>
          </w:p>
        </w:tc>
        <w:tc>
          <w:tcPr>
            <w:tcW w:w="1758" w:type="dxa"/>
            <w:vAlign w:val="center"/>
          </w:tcPr>
          <w:p>
            <w:pPr>
              <w:autoSpaceDE w:val="0"/>
              <w:autoSpaceDN w:val="0"/>
              <w:adjustRightInd w:val="0"/>
              <w:snapToGrid w:val="0"/>
              <w:rPr>
                <w:szCs w:val="21"/>
              </w:rPr>
            </w:pPr>
            <w:r>
              <w:rPr>
                <w:rFonts w:hint="eastAsia"/>
                <w:szCs w:val="21"/>
              </w:rPr>
              <w:t>矽肺</w:t>
            </w:r>
          </w:p>
        </w:tc>
        <w:tc>
          <w:tcPr>
            <w:tcW w:w="1507" w:type="dxa"/>
            <w:vMerge w:val="restart"/>
            <w:tcBorders>
              <w:right w:val="single" w:color="000000" w:sz="8" w:space="0"/>
            </w:tcBorders>
            <w:vAlign w:val="center"/>
          </w:tcPr>
          <w:p>
            <w:pPr>
              <w:adjustRightInd w:val="0"/>
              <w:snapToGrid w:val="0"/>
              <w:rPr>
                <w:szCs w:val="21"/>
              </w:rPr>
            </w:pPr>
            <w:r>
              <w:rPr>
                <w:rFonts w:hint="eastAsia"/>
                <w:szCs w:val="21"/>
              </w:rPr>
              <w:t>a)生产性粉尘作业分级I级，2年1次；生产性粉尘作业分级</w:t>
            </w:r>
            <w:r>
              <w:rPr>
                <w:rFonts w:hint="eastAsia" w:cs="宋体"/>
                <w:szCs w:val="21"/>
              </w:rPr>
              <w:t>Ⅱ</w:t>
            </w:r>
            <w:r>
              <w:rPr>
                <w:rFonts w:hint="eastAsia"/>
                <w:szCs w:val="21"/>
              </w:rPr>
              <w:t>级及以上，1年1次；</w:t>
            </w:r>
          </w:p>
          <w:p>
            <w:pPr>
              <w:adjustRightInd w:val="0"/>
              <w:snapToGrid w:val="0"/>
              <w:rPr>
                <w:szCs w:val="21"/>
              </w:rPr>
            </w:pPr>
            <w:r>
              <w:rPr>
                <w:rFonts w:hint="eastAsia"/>
                <w:szCs w:val="21"/>
              </w:rPr>
              <w:t>b)X射线胸片表现为观察对象者健康检查每年1次，连续观察5年，若5年内不能确诊为矽肺患</w:t>
            </w:r>
          </w:p>
          <w:p>
            <w:pPr>
              <w:adjustRightInd w:val="0"/>
              <w:snapToGrid w:val="0"/>
              <w:rPr>
                <w:szCs w:val="21"/>
              </w:rPr>
            </w:pPr>
            <w:r>
              <w:rPr>
                <w:rFonts w:hint="eastAsia"/>
                <w:szCs w:val="21"/>
              </w:rPr>
              <w:t>者，按6.1.2. 3a)执行；</w:t>
            </w:r>
          </w:p>
          <w:p>
            <w:pPr>
              <w:adjustRightInd w:val="0"/>
              <w:snapToGrid w:val="0"/>
              <w:rPr>
                <w:szCs w:val="21"/>
              </w:rPr>
            </w:pPr>
            <w:r>
              <w:rPr>
                <w:rFonts w:hint="eastAsia"/>
                <w:szCs w:val="21"/>
              </w:rPr>
              <w:t>c)矽肺患者原则每年检查1次，或根据病情随时检查。</w:t>
            </w: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必检项目</w:t>
            </w:r>
          </w:p>
        </w:tc>
        <w:tc>
          <w:tcPr>
            <w:tcW w:w="2693" w:type="dxa"/>
            <w:vAlign w:val="center"/>
          </w:tcPr>
          <w:p>
            <w:pPr>
              <w:adjustRightInd w:val="0"/>
              <w:snapToGrid w:val="0"/>
              <w:rPr>
                <w:szCs w:val="21"/>
              </w:rPr>
            </w:pPr>
            <w:r>
              <w:rPr>
                <w:rFonts w:hint="eastAsia"/>
                <w:szCs w:val="21"/>
              </w:rPr>
              <w:t>血常规、尿常规、心电图、血清ALT、后前位X射线高仟伏胸片或数字化摄影胸片    (DR胸片)、肺功能</w:t>
            </w:r>
          </w:p>
        </w:tc>
        <w:tc>
          <w:tcPr>
            <w:tcW w:w="4111" w:type="dxa"/>
            <w:vAlign w:val="center"/>
          </w:tcPr>
          <w:p>
            <w:pPr>
              <w:autoSpaceDE w:val="0"/>
              <w:autoSpaceDN w:val="0"/>
              <w:adjustRightInd w:val="0"/>
              <w:snapToGrid w:val="0"/>
              <w:rPr>
                <w:szCs w:val="21"/>
              </w:rPr>
            </w:pPr>
            <w:r>
              <w:rPr>
                <w:rFonts w:hint="eastAsia"/>
                <w:szCs w:val="21"/>
              </w:rPr>
              <w:t>后前位X射线高仟伏胸片或数字化摄影胸片（DR胸片）、心电图、肺功能；</w:t>
            </w:r>
          </w:p>
        </w:tc>
        <w:tc>
          <w:tcPr>
            <w:tcW w:w="1984" w:type="dxa"/>
            <w:vAlign w:val="center"/>
          </w:tcPr>
          <w:p>
            <w:pPr>
              <w:autoSpaceDE w:val="0"/>
              <w:autoSpaceDN w:val="0"/>
              <w:adjustRightInd w:val="0"/>
              <w:snapToGrid w:val="0"/>
              <w:rPr>
                <w:szCs w:val="21"/>
              </w:rPr>
            </w:pPr>
            <w:r>
              <w:rPr>
                <w:rFonts w:hint="eastAsia"/>
                <w:szCs w:val="21"/>
              </w:rPr>
              <w:t>——</w:t>
            </w:r>
          </w:p>
        </w:tc>
        <w:tc>
          <w:tcPr>
            <w:tcW w:w="1758" w:type="dxa"/>
            <w:vAlign w:val="center"/>
          </w:tcPr>
          <w:p>
            <w:pPr>
              <w:autoSpaceDE w:val="0"/>
              <w:autoSpaceDN w:val="0"/>
              <w:adjustRightInd w:val="0"/>
              <w:snapToGrid w:val="0"/>
              <w:rPr>
                <w:szCs w:val="21"/>
              </w:rPr>
            </w:pPr>
            <w:r>
              <w:rPr>
                <w:rFonts w:hint="eastAsia"/>
                <w:szCs w:val="21"/>
              </w:rPr>
              <w:t>后前位X射线高仟伏胸片或数字化摄影胸片(DR胸片)</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选检项目</w:t>
            </w:r>
          </w:p>
        </w:tc>
        <w:tc>
          <w:tcPr>
            <w:tcW w:w="2693" w:type="dxa"/>
            <w:vAlign w:val="center"/>
          </w:tcPr>
          <w:p>
            <w:pPr>
              <w:autoSpaceDE w:val="0"/>
              <w:autoSpaceDN w:val="0"/>
              <w:adjustRightInd w:val="0"/>
              <w:snapToGrid w:val="0"/>
              <w:rPr>
                <w:szCs w:val="21"/>
              </w:rPr>
            </w:pPr>
            <w:r>
              <w:rPr>
                <w:rFonts w:hint="eastAsia"/>
                <w:szCs w:val="21"/>
              </w:rPr>
              <w:t>——</w:t>
            </w:r>
          </w:p>
        </w:tc>
        <w:tc>
          <w:tcPr>
            <w:tcW w:w="4111" w:type="dxa"/>
            <w:vAlign w:val="center"/>
          </w:tcPr>
          <w:p>
            <w:pPr>
              <w:autoSpaceDE w:val="0"/>
              <w:autoSpaceDN w:val="0"/>
              <w:adjustRightInd w:val="0"/>
              <w:snapToGrid w:val="0"/>
              <w:rPr>
                <w:szCs w:val="21"/>
              </w:rPr>
            </w:pPr>
            <w:r>
              <w:rPr>
                <w:rFonts w:hint="eastAsia"/>
                <w:szCs w:val="21"/>
              </w:rPr>
              <w:t>血常规、尿常规、血清ALT</w:t>
            </w:r>
          </w:p>
        </w:tc>
        <w:tc>
          <w:tcPr>
            <w:tcW w:w="1984" w:type="dxa"/>
            <w:vAlign w:val="center"/>
          </w:tcPr>
          <w:p>
            <w:pPr>
              <w:autoSpaceDE w:val="0"/>
              <w:autoSpaceDN w:val="0"/>
              <w:adjustRightInd w:val="0"/>
              <w:snapToGrid w:val="0"/>
              <w:rPr>
                <w:szCs w:val="21"/>
              </w:rPr>
            </w:pPr>
            <w:r>
              <w:rPr>
                <w:rFonts w:hint="eastAsia"/>
                <w:szCs w:val="21"/>
              </w:rPr>
              <w:t>——</w:t>
            </w:r>
          </w:p>
        </w:tc>
        <w:tc>
          <w:tcPr>
            <w:tcW w:w="1758" w:type="dxa"/>
            <w:vAlign w:val="center"/>
          </w:tcPr>
          <w:p>
            <w:pPr>
              <w:autoSpaceDE w:val="0"/>
              <w:autoSpaceDN w:val="0"/>
              <w:adjustRightInd w:val="0"/>
              <w:snapToGrid w:val="0"/>
              <w:rPr>
                <w:szCs w:val="21"/>
              </w:rPr>
            </w:pPr>
            <w:r>
              <w:rPr>
                <w:rFonts w:hint="eastAsia"/>
                <w:szCs w:val="21"/>
              </w:rPr>
              <w:t>——</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必检项目</w:t>
            </w:r>
          </w:p>
        </w:tc>
        <w:tc>
          <w:tcPr>
            <w:tcW w:w="2693" w:type="dxa"/>
            <w:vAlign w:val="center"/>
          </w:tcPr>
          <w:p>
            <w:pPr>
              <w:adjustRightInd w:val="0"/>
              <w:snapToGrid w:val="0"/>
              <w:rPr>
                <w:szCs w:val="21"/>
              </w:rPr>
            </w:pPr>
            <w:r>
              <w:rPr>
                <w:rFonts w:hint="eastAsia"/>
                <w:szCs w:val="21"/>
              </w:rPr>
              <w:t>血常规、尿常规、心电图、血清ALT、后前位X射线高仟伏胸片或数字化摄影胸片    (DR胸片)、肺功能</w:t>
            </w:r>
          </w:p>
        </w:tc>
        <w:tc>
          <w:tcPr>
            <w:tcW w:w="4111" w:type="dxa"/>
            <w:vAlign w:val="center"/>
          </w:tcPr>
          <w:p>
            <w:pPr>
              <w:autoSpaceDE w:val="0"/>
              <w:autoSpaceDN w:val="0"/>
              <w:adjustRightInd w:val="0"/>
              <w:snapToGrid w:val="0"/>
              <w:rPr>
                <w:szCs w:val="21"/>
              </w:rPr>
            </w:pPr>
            <w:r>
              <w:rPr>
                <w:rFonts w:hint="eastAsia"/>
                <w:szCs w:val="21"/>
              </w:rPr>
              <w:t>后前位X射线高仟伏胸片或数字化摄影胸片（DR胸片）、心电图、肺功能</w:t>
            </w:r>
          </w:p>
        </w:tc>
        <w:tc>
          <w:tcPr>
            <w:tcW w:w="1984" w:type="dxa"/>
            <w:vAlign w:val="center"/>
          </w:tcPr>
          <w:p>
            <w:pPr>
              <w:autoSpaceDE w:val="0"/>
              <w:autoSpaceDN w:val="0"/>
              <w:adjustRightInd w:val="0"/>
              <w:snapToGrid w:val="0"/>
              <w:rPr>
                <w:szCs w:val="21"/>
              </w:rPr>
            </w:pPr>
            <w:r>
              <w:rPr>
                <w:rFonts w:hint="eastAsia"/>
                <w:szCs w:val="21"/>
              </w:rPr>
              <w:t>——</w:t>
            </w:r>
          </w:p>
        </w:tc>
        <w:tc>
          <w:tcPr>
            <w:tcW w:w="1758" w:type="dxa"/>
            <w:vAlign w:val="center"/>
          </w:tcPr>
          <w:p>
            <w:pPr>
              <w:autoSpaceDE w:val="0"/>
              <w:autoSpaceDN w:val="0"/>
              <w:adjustRightInd w:val="0"/>
              <w:snapToGrid w:val="0"/>
              <w:rPr>
                <w:szCs w:val="21"/>
              </w:rPr>
            </w:pPr>
            <w:r>
              <w:rPr>
                <w:rFonts w:hint="eastAsia"/>
                <w:szCs w:val="21"/>
              </w:rPr>
              <w:t>后前位X射线高仟伏胸片或数字化摄影胸片(DR胸片)</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选检项目</w:t>
            </w:r>
          </w:p>
        </w:tc>
        <w:tc>
          <w:tcPr>
            <w:tcW w:w="2693" w:type="dxa"/>
            <w:vAlign w:val="center"/>
          </w:tcPr>
          <w:p>
            <w:pPr>
              <w:autoSpaceDE w:val="0"/>
              <w:autoSpaceDN w:val="0"/>
              <w:adjustRightInd w:val="0"/>
              <w:snapToGrid w:val="0"/>
              <w:rPr>
                <w:szCs w:val="21"/>
              </w:rPr>
            </w:pPr>
            <w:r>
              <w:rPr>
                <w:rFonts w:hint="eastAsia"/>
                <w:szCs w:val="21"/>
              </w:rPr>
              <w:t>——</w:t>
            </w:r>
          </w:p>
        </w:tc>
        <w:tc>
          <w:tcPr>
            <w:tcW w:w="4111" w:type="dxa"/>
            <w:vAlign w:val="center"/>
          </w:tcPr>
          <w:p>
            <w:pPr>
              <w:autoSpaceDE w:val="0"/>
              <w:autoSpaceDN w:val="0"/>
              <w:adjustRightInd w:val="0"/>
              <w:snapToGrid w:val="0"/>
              <w:rPr>
                <w:szCs w:val="21"/>
              </w:rPr>
            </w:pPr>
            <w:r>
              <w:rPr>
                <w:rFonts w:hint="eastAsia"/>
                <w:szCs w:val="21"/>
              </w:rPr>
              <w:t>血常规、尿常规、血清ALT</w:t>
            </w:r>
          </w:p>
        </w:tc>
        <w:tc>
          <w:tcPr>
            <w:tcW w:w="1984" w:type="dxa"/>
            <w:vAlign w:val="center"/>
          </w:tcPr>
          <w:p>
            <w:pPr>
              <w:autoSpaceDE w:val="0"/>
              <w:autoSpaceDN w:val="0"/>
              <w:adjustRightInd w:val="0"/>
              <w:snapToGrid w:val="0"/>
              <w:rPr>
                <w:szCs w:val="21"/>
              </w:rPr>
            </w:pPr>
            <w:r>
              <w:rPr>
                <w:rFonts w:hint="eastAsia"/>
                <w:szCs w:val="21"/>
              </w:rPr>
              <w:t>——</w:t>
            </w:r>
          </w:p>
        </w:tc>
        <w:tc>
          <w:tcPr>
            <w:tcW w:w="1758" w:type="dxa"/>
            <w:vAlign w:val="center"/>
          </w:tcPr>
          <w:p>
            <w:pPr>
              <w:autoSpaceDE w:val="0"/>
              <w:autoSpaceDN w:val="0"/>
              <w:adjustRightInd w:val="0"/>
              <w:snapToGrid w:val="0"/>
              <w:rPr>
                <w:szCs w:val="21"/>
              </w:rPr>
            </w:pPr>
            <w:r>
              <w:rPr>
                <w:rFonts w:hint="eastAsia"/>
                <w:szCs w:val="21"/>
              </w:rPr>
              <w:t>——</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061" w:type="dxa"/>
            <w:vMerge w:val="restart"/>
            <w:tcBorders>
              <w:left w:val="single" w:color="000000" w:sz="8" w:space="0"/>
            </w:tcBorders>
            <w:vAlign w:val="center"/>
          </w:tcPr>
          <w:p>
            <w:pPr>
              <w:autoSpaceDE w:val="0"/>
              <w:autoSpaceDN w:val="0"/>
              <w:adjustRightInd w:val="0"/>
              <w:snapToGrid w:val="0"/>
              <w:rPr>
                <w:szCs w:val="21"/>
              </w:rPr>
            </w:pPr>
            <w:r>
              <w:rPr>
                <w:rFonts w:hint="eastAsia"/>
                <w:szCs w:val="21"/>
              </w:rPr>
              <w:t>其他致尘肺病的无机粉尘</w:t>
            </w:r>
          </w:p>
        </w:tc>
        <w:tc>
          <w:tcPr>
            <w:tcW w:w="1056" w:type="dxa"/>
            <w:vAlign w:val="center"/>
          </w:tcPr>
          <w:p>
            <w:pPr>
              <w:autoSpaceDE w:val="0"/>
              <w:autoSpaceDN w:val="0"/>
              <w:adjustRightInd w:val="0"/>
              <w:snapToGrid w:val="0"/>
              <w:rPr>
                <w:szCs w:val="21"/>
              </w:rPr>
            </w:pPr>
            <w:r>
              <w:rPr>
                <w:rFonts w:hint="eastAsia"/>
                <w:szCs w:val="21"/>
              </w:rPr>
              <w:t>目标疾病</w:t>
            </w:r>
          </w:p>
        </w:tc>
        <w:tc>
          <w:tcPr>
            <w:tcW w:w="2693" w:type="dxa"/>
            <w:vAlign w:val="center"/>
          </w:tcPr>
          <w:p>
            <w:pPr>
              <w:adjustRightInd w:val="0"/>
              <w:snapToGrid w:val="0"/>
              <w:rPr>
                <w:szCs w:val="21"/>
              </w:rPr>
            </w:pPr>
            <w:r>
              <w:rPr>
                <w:rFonts w:hint="eastAsia"/>
                <w:szCs w:val="21"/>
              </w:rPr>
              <w:t>职业禁忌证：</w:t>
            </w:r>
          </w:p>
          <w:p>
            <w:pPr>
              <w:adjustRightInd w:val="0"/>
              <w:snapToGrid w:val="0"/>
              <w:rPr>
                <w:szCs w:val="21"/>
              </w:rPr>
            </w:pPr>
            <w:r>
              <w:rPr>
                <w:rFonts w:hint="eastAsia"/>
                <w:szCs w:val="21"/>
              </w:rPr>
              <w:t>a)  活动性肺结核病</w:t>
            </w:r>
          </w:p>
          <w:p>
            <w:pPr>
              <w:adjustRightInd w:val="0"/>
              <w:snapToGrid w:val="0"/>
              <w:rPr>
                <w:szCs w:val="21"/>
              </w:rPr>
            </w:pPr>
            <w:r>
              <w:rPr>
                <w:rFonts w:hint="eastAsia"/>
                <w:szCs w:val="21"/>
              </w:rPr>
              <w:t>GBZ 188-2014</w:t>
            </w:r>
          </w:p>
          <w:p>
            <w:pPr>
              <w:adjustRightInd w:val="0"/>
              <w:snapToGrid w:val="0"/>
              <w:rPr>
                <w:szCs w:val="21"/>
              </w:rPr>
            </w:pPr>
            <w:r>
              <w:rPr>
                <w:rFonts w:hint="eastAsia"/>
                <w:szCs w:val="21"/>
              </w:rPr>
              <w:t>b)慢性阻塞性肺病；</w:t>
            </w:r>
          </w:p>
          <w:p>
            <w:pPr>
              <w:adjustRightInd w:val="0"/>
              <w:snapToGrid w:val="0"/>
              <w:rPr>
                <w:szCs w:val="21"/>
              </w:rPr>
            </w:pPr>
            <w:r>
              <w:rPr>
                <w:rFonts w:hint="eastAsia"/>
                <w:szCs w:val="21"/>
              </w:rPr>
              <w:t>c)慢性间质性肺病；</w:t>
            </w:r>
          </w:p>
          <w:p>
            <w:pPr>
              <w:autoSpaceDE w:val="0"/>
              <w:autoSpaceDN w:val="0"/>
              <w:adjustRightInd w:val="0"/>
              <w:snapToGrid w:val="0"/>
              <w:rPr>
                <w:szCs w:val="21"/>
              </w:rPr>
            </w:pPr>
            <w:r>
              <w:rPr>
                <w:rFonts w:hint="eastAsia"/>
                <w:szCs w:val="21"/>
              </w:rPr>
              <w:t>d)伴肺功能损害的疾病</w:t>
            </w:r>
          </w:p>
        </w:tc>
        <w:tc>
          <w:tcPr>
            <w:tcW w:w="4111" w:type="dxa"/>
            <w:vAlign w:val="center"/>
          </w:tcPr>
          <w:p>
            <w:pPr>
              <w:adjustRightInd w:val="0"/>
              <w:snapToGrid w:val="0"/>
              <w:rPr>
                <w:szCs w:val="21"/>
              </w:rPr>
            </w:pPr>
            <w:r>
              <w:rPr>
                <w:rFonts w:hint="eastAsia"/>
                <w:szCs w:val="21"/>
              </w:rPr>
              <w:t>职业病：炭黑尘肺、石墨尘肺、滑石尘肺、云母尘肺、水泥尘肺、铸工尘肺、陶工尘肺、铝尘肺、电</w:t>
            </w:r>
          </w:p>
          <w:p>
            <w:pPr>
              <w:adjustRightInd w:val="0"/>
              <w:snapToGrid w:val="0"/>
              <w:rPr>
                <w:szCs w:val="21"/>
              </w:rPr>
            </w:pPr>
            <w:r>
              <w:rPr>
                <w:rFonts w:hint="eastAsia"/>
                <w:szCs w:val="21"/>
              </w:rPr>
              <w:t>焊工尘肺(见GBZ 70)；</w:t>
            </w:r>
          </w:p>
          <w:p>
            <w:pPr>
              <w:adjustRightInd w:val="0"/>
              <w:snapToGrid w:val="0"/>
              <w:rPr>
                <w:szCs w:val="21"/>
              </w:rPr>
            </w:pPr>
            <w:r>
              <w:rPr>
                <w:rFonts w:hint="eastAsia"/>
                <w:szCs w:val="21"/>
              </w:rPr>
              <w:t>职业禁忌证：同上岗前。</w:t>
            </w:r>
          </w:p>
          <w:p>
            <w:pPr>
              <w:adjustRightInd w:val="0"/>
              <w:snapToGrid w:val="0"/>
              <w:rPr>
                <w:szCs w:val="21"/>
              </w:rPr>
            </w:pPr>
          </w:p>
        </w:tc>
        <w:tc>
          <w:tcPr>
            <w:tcW w:w="1984" w:type="dxa"/>
            <w:vAlign w:val="center"/>
          </w:tcPr>
          <w:p>
            <w:pPr>
              <w:autoSpaceDE w:val="0"/>
              <w:autoSpaceDN w:val="0"/>
              <w:adjustRightInd w:val="0"/>
              <w:snapToGrid w:val="0"/>
              <w:rPr>
                <w:szCs w:val="21"/>
              </w:rPr>
            </w:pPr>
            <w:r>
              <w:rPr>
                <w:rFonts w:hint="eastAsia"/>
                <w:szCs w:val="21"/>
              </w:rPr>
              <w:t>——</w:t>
            </w:r>
          </w:p>
        </w:tc>
        <w:tc>
          <w:tcPr>
            <w:tcW w:w="1758" w:type="dxa"/>
            <w:vAlign w:val="center"/>
          </w:tcPr>
          <w:p>
            <w:pPr>
              <w:adjustRightInd w:val="0"/>
              <w:snapToGrid w:val="0"/>
              <w:rPr>
                <w:szCs w:val="21"/>
              </w:rPr>
            </w:pPr>
            <w:r>
              <w:rPr>
                <w:rFonts w:hint="eastAsia"/>
                <w:szCs w:val="21"/>
              </w:rPr>
              <w:t>职业病：炭黑尘肺、石墨尘肺、滑石尘肺、云母尘肺、水泥尘肺、铸工尘肺、陶工尘肺、铝尘肺、电</w:t>
            </w:r>
          </w:p>
          <w:p>
            <w:pPr>
              <w:adjustRightInd w:val="0"/>
              <w:snapToGrid w:val="0"/>
              <w:rPr>
                <w:szCs w:val="21"/>
              </w:rPr>
            </w:pPr>
            <w:r>
              <w:rPr>
                <w:rFonts w:hint="eastAsia"/>
                <w:szCs w:val="21"/>
              </w:rPr>
              <w:t>焊工尘肺(见GBZ 70)；</w:t>
            </w:r>
          </w:p>
          <w:p>
            <w:pPr>
              <w:adjustRightInd w:val="0"/>
              <w:snapToGrid w:val="0"/>
              <w:rPr>
                <w:szCs w:val="21"/>
              </w:rPr>
            </w:pPr>
            <w:r>
              <w:rPr>
                <w:rFonts w:hint="eastAsia"/>
                <w:szCs w:val="21"/>
              </w:rPr>
              <w:t>职业禁忌证：同上岗前。</w:t>
            </w:r>
          </w:p>
        </w:tc>
        <w:tc>
          <w:tcPr>
            <w:tcW w:w="1507" w:type="dxa"/>
            <w:vMerge w:val="restart"/>
            <w:tcBorders>
              <w:right w:val="single" w:color="000000" w:sz="8" w:space="0"/>
            </w:tcBorders>
            <w:vAlign w:val="center"/>
          </w:tcPr>
          <w:p>
            <w:pPr>
              <w:adjustRightInd w:val="0"/>
              <w:snapToGrid w:val="0"/>
              <w:rPr>
                <w:szCs w:val="21"/>
              </w:rPr>
            </w:pPr>
            <w:r>
              <w:rPr>
                <w:rFonts w:hint="eastAsia"/>
                <w:szCs w:val="21"/>
              </w:rPr>
              <w:t>生产性粉尘作业分级I级，4年1次；生产性粉尘作业分级</w:t>
            </w:r>
            <w:r>
              <w:rPr>
                <w:rFonts w:hint="eastAsia" w:cs="宋体"/>
                <w:szCs w:val="21"/>
              </w:rPr>
              <w:t>Ⅱ</w:t>
            </w:r>
            <w:r>
              <w:rPr>
                <w:rFonts w:hint="eastAsia"/>
                <w:szCs w:val="21"/>
              </w:rPr>
              <w:t>级及以上，2-3年1次；</w:t>
            </w:r>
          </w:p>
          <w:p>
            <w:pPr>
              <w:adjustRightInd w:val="0"/>
              <w:snapToGrid w:val="0"/>
              <w:jc w:val="left"/>
              <w:rPr>
                <w:szCs w:val="21"/>
              </w:rPr>
            </w:pPr>
            <w:r>
              <w:rPr>
                <w:rFonts w:hint="eastAsia"/>
                <w:szCs w:val="21"/>
              </w:rPr>
              <w:t>X射线胸片表现为观察对象者健康检查每年1次，连续观察5年，若5年内不能确诊为尘肺患者，按6.4.2.3a)执行；</w:t>
            </w:r>
          </w:p>
          <w:p>
            <w:pPr>
              <w:autoSpaceDE w:val="0"/>
              <w:autoSpaceDN w:val="0"/>
              <w:adjustRightInd w:val="0"/>
              <w:snapToGrid w:val="0"/>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必检项目</w:t>
            </w:r>
          </w:p>
        </w:tc>
        <w:tc>
          <w:tcPr>
            <w:tcW w:w="2693" w:type="dxa"/>
            <w:vAlign w:val="center"/>
          </w:tcPr>
          <w:p>
            <w:pPr>
              <w:adjustRightInd w:val="0"/>
              <w:snapToGrid w:val="0"/>
              <w:rPr>
                <w:szCs w:val="21"/>
              </w:rPr>
            </w:pPr>
            <w:r>
              <w:rPr>
                <w:rFonts w:hint="eastAsia"/>
                <w:szCs w:val="21"/>
              </w:rPr>
              <w:t>血常规、尿常规、心电图、血清ALT、后前位X射线高仟伏胸片或数字化摄影胸片    (DR胸片)、肺功能</w:t>
            </w:r>
          </w:p>
        </w:tc>
        <w:tc>
          <w:tcPr>
            <w:tcW w:w="4111" w:type="dxa"/>
            <w:vAlign w:val="center"/>
          </w:tcPr>
          <w:p>
            <w:pPr>
              <w:autoSpaceDE w:val="0"/>
              <w:autoSpaceDN w:val="0"/>
              <w:adjustRightInd w:val="0"/>
              <w:snapToGrid w:val="0"/>
              <w:rPr>
                <w:szCs w:val="21"/>
              </w:rPr>
            </w:pPr>
            <w:r>
              <w:rPr>
                <w:rFonts w:hint="eastAsia"/>
                <w:szCs w:val="21"/>
              </w:rPr>
              <w:t>后前位X射线高仟伏胸片或数字化摄影胸片（DR胸片）、心电图、肺功能</w:t>
            </w:r>
          </w:p>
        </w:tc>
        <w:tc>
          <w:tcPr>
            <w:tcW w:w="1984" w:type="dxa"/>
            <w:vAlign w:val="center"/>
          </w:tcPr>
          <w:p>
            <w:pPr>
              <w:autoSpaceDE w:val="0"/>
              <w:autoSpaceDN w:val="0"/>
              <w:adjustRightInd w:val="0"/>
              <w:snapToGrid w:val="0"/>
              <w:rPr>
                <w:szCs w:val="21"/>
              </w:rPr>
            </w:pPr>
            <w:r>
              <w:rPr>
                <w:rFonts w:hint="eastAsia"/>
                <w:szCs w:val="21"/>
              </w:rPr>
              <w:t>——</w:t>
            </w:r>
          </w:p>
        </w:tc>
        <w:tc>
          <w:tcPr>
            <w:tcW w:w="1758" w:type="dxa"/>
            <w:vAlign w:val="center"/>
          </w:tcPr>
          <w:p>
            <w:pPr>
              <w:autoSpaceDE w:val="0"/>
              <w:autoSpaceDN w:val="0"/>
              <w:adjustRightInd w:val="0"/>
              <w:snapToGrid w:val="0"/>
              <w:rPr>
                <w:szCs w:val="21"/>
              </w:rPr>
            </w:pPr>
            <w:r>
              <w:rPr>
                <w:rFonts w:hint="eastAsia"/>
                <w:szCs w:val="21"/>
              </w:rPr>
              <w:t>后前位X射线高仟伏胸片或数字化摄影胸片（DR胸片）</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757" w:hRule="atLeast"/>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选检项目</w:t>
            </w:r>
          </w:p>
        </w:tc>
        <w:tc>
          <w:tcPr>
            <w:tcW w:w="2693" w:type="dxa"/>
            <w:vAlign w:val="center"/>
          </w:tcPr>
          <w:p>
            <w:pPr>
              <w:autoSpaceDE w:val="0"/>
              <w:autoSpaceDN w:val="0"/>
              <w:adjustRightInd w:val="0"/>
              <w:snapToGrid w:val="0"/>
              <w:rPr>
                <w:szCs w:val="21"/>
              </w:rPr>
            </w:pPr>
            <w:r>
              <w:rPr>
                <w:rFonts w:hint="eastAsia"/>
                <w:szCs w:val="21"/>
              </w:rPr>
              <w:t>——</w:t>
            </w:r>
          </w:p>
        </w:tc>
        <w:tc>
          <w:tcPr>
            <w:tcW w:w="4111" w:type="dxa"/>
            <w:vAlign w:val="center"/>
          </w:tcPr>
          <w:p>
            <w:pPr>
              <w:autoSpaceDE w:val="0"/>
              <w:autoSpaceDN w:val="0"/>
              <w:adjustRightInd w:val="0"/>
              <w:snapToGrid w:val="0"/>
              <w:rPr>
                <w:szCs w:val="21"/>
              </w:rPr>
            </w:pPr>
            <w:r>
              <w:rPr>
                <w:rFonts w:hint="eastAsia"/>
                <w:szCs w:val="21"/>
              </w:rPr>
              <w:t>血常规、尿常规、血清ALT</w:t>
            </w:r>
          </w:p>
        </w:tc>
        <w:tc>
          <w:tcPr>
            <w:tcW w:w="1984" w:type="dxa"/>
            <w:vAlign w:val="center"/>
          </w:tcPr>
          <w:p>
            <w:pPr>
              <w:autoSpaceDE w:val="0"/>
              <w:autoSpaceDN w:val="0"/>
              <w:adjustRightInd w:val="0"/>
              <w:snapToGrid w:val="0"/>
              <w:rPr>
                <w:szCs w:val="21"/>
              </w:rPr>
            </w:pPr>
            <w:r>
              <w:rPr>
                <w:rFonts w:hint="eastAsia"/>
                <w:szCs w:val="21"/>
              </w:rPr>
              <w:t>——</w:t>
            </w:r>
          </w:p>
        </w:tc>
        <w:tc>
          <w:tcPr>
            <w:tcW w:w="1758" w:type="dxa"/>
            <w:vAlign w:val="center"/>
          </w:tcPr>
          <w:p>
            <w:pPr>
              <w:autoSpaceDE w:val="0"/>
              <w:autoSpaceDN w:val="0"/>
              <w:adjustRightInd w:val="0"/>
              <w:snapToGrid w:val="0"/>
              <w:rPr>
                <w:szCs w:val="21"/>
              </w:rPr>
            </w:pPr>
            <w:r>
              <w:rPr>
                <w:rFonts w:hint="eastAsia"/>
                <w:szCs w:val="21"/>
              </w:rPr>
              <w:t>——</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061" w:type="dxa"/>
            <w:vMerge w:val="restart"/>
            <w:tcBorders>
              <w:left w:val="single" w:color="000000" w:sz="8" w:space="0"/>
            </w:tcBorders>
            <w:vAlign w:val="center"/>
          </w:tcPr>
          <w:p>
            <w:pPr>
              <w:autoSpaceDE w:val="0"/>
              <w:autoSpaceDN w:val="0"/>
              <w:adjustRightInd w:val="0"/>
              <w:snapToGrid w:val="0"/>
              <w:rPr>
                <w:szCs w:val="21"/>
              </w:rPr>
            </w:pPr>
            <w:r>
              <w:rPr>
                <w:rFonts w:hint="eastAsia"/>
                <w:szCs w:val="21"/>
              </w:rPr>
              <w:t>高温</w:t>
            </w:r>
          </w:p>
        </w:tc>
        <w:tc>
          <w:tcPr>
            <w:tcW w:w="1056" w:type="dxa"/>
            <w:vAlign w:val="center"/>
          </w:tcPr>
          <w:p>
            <w:pPr>
              <w:autoSpaceDE w:val="0"/>
              <w:autoSpaceDN w:val="0"/>
              <w:adjustRightInd w:val="0"/>
              <w:snapToGrid w:val="0"/>
              <w:rPr>
                <w:szCs w:val="21"/>
              </w:rPr>
            </w:pPr>
            <w:r>
              <w:rPr>
                <w:rFonts w:hint="eastAsia"/>
                <w:szCs w:val="21"/>
              </w:rPr>
              <w:t>目标疾病</w:t>
            </w:r>
          </w:p>
        </w:tc>
        <w:tc>
          <w:tcPr>
            <w:tcW w:w="6804" w:type="dxa"/>
            <w:gridSpan w:val="2"/>
            <w:vAlign w:val="center"/>
          </w:tcPr>
          <w:p>
            <w:pPr>
              <w:adjustRightInd w:val="0"/>
              <w:snapToGrid w:val="0"/>
              <w:rPr>
                <w:szCs w:val="21"/>
              </w:rPr>
            </w:pPr>
            <w:r>
              <w:rPr>
                <w:rFonts w:hint="eastAsia"/>
                <w:szCs w:val="21"/>
              </w:rPr>
              <w:t>职业禁忌证：</w:t>
            </w:r>
          </w:p>
          <w:p>
            <w:pPr>
              <w:adjustRightInd w:val="0"/>
              <w:snapToGrid w:val="0"/>
              <w:rPr>
                <w:szCs w:val="21"/>
              </w:rPr>
            </w:pPr>
            <w:r>
              <w:rPr>
                <w:rFonts w:hint="eastAsia"/>
                <w:szCs w:val="21"/>
              </w:rPr>
              <w:t>a)未控制的高血压；</w:t>
            </w:r>
          </w:p>
          <w:p>
            <w:pPr>
              <w:adjustRightInd w:val="0"/>
              <w:snapToGrid w:val="0"/>
              <w:rPr>
                <w:szCs w:val="21"/>
              </w:rPr>
            </w:pPr>
            <w:r>
              <w:rPr>
                <w:rFonts w:hint="eastAsia"/>
                <w:szCs w:val="21"/>
              </w:rPr>
              <w:t>b)慢性肾炎；</w:t>
            </w:r>
          </w:p>
          <w:p>
            <w:pPr>
              <w:adjustRightInd w:val="0"/>
              <w:snapToGrid w:val="0"/>
              <w:rPr>
                <w:szCs w:val="21"/>
              </w:rPr>
            </w:pPr>
            <w:r>
              <w:rPr>
                <w:rFonts w:hint="eastAsia"/>
                <w:szCs w:val="21"/>
              </w:rPr>
              <w:t>c)未控制的甲状腺功能亢进症；</w:t>
            </w:r>
          </w:p>
          <w:p>
            <w:pPr>
              <w:adjustRightInd w:val="0"/>
              <w:snapToGrid w:val="0"/>
              <w:rPr>
                <w:szCs w:val="21"/>
              </w:rPr>
            </w:pPr>
            <w:r>
              <w:rPr>
                <w:rFonts w:hint="eastAsia"/>
                <w:szCs w:val="21"/>
              </w:rPr>
              <w:t>d)未控制的糖尿病；</w:t>
            </w:r>
          </w:p>
          <w:p>
            <w:pPr>
              <w:adjustRightInd w:val="0"/>
              <w:snapToGrid w:val="0"/>
              <w:rPr>
                <w:szCs w:val="21"/>
              </w:rPr>
            </w:pPr>
            <w:r>
              <w:rPr>
                <w:rFonts w:hint="eastAsia"/>
                <w:szCs w:val="21"/>
              </w:rPr>
              <w:t>e)全身瘢痕面积≥20%以上（工伤标准的八级）；</w:t>
            </w:r>
          </w:p>
          <w:p>
            <w:pPr>
              <w:autoSpaceDE w:val="0"/>
              <w:autoSpaceDN w:val="0"/>
              <w:adjustRightInd w:val="0"/>
              <w:snapToGrid w:val="0"/>
              <w:rPr>
                <w:szCs w:val="21"/>
              </w:rPr>
            </w:pPr>
            <w:r>
              <w:rPr>
                <w:rFonts w:hint="eastAsia"/>
                <w:szCs w:val="21"/>
              </w:rPr>
              <w:t>f)癫痫</w:t>
            </w:r>
          </w:p>
        </w:tc>
        <w:tc>
          <w:tcPr>
            <w:tcW w:w="1984" w:type="dxa"/>
            <w:vAlign w:val="center"/>
          </w:tcPr>
          <w:p>
            <w:pPr>
              <w:autoSpaceDE w:val="0"/>
              <w:autoSpaceDN w:val="0"/>
              <w:adjustRightInd w:val="0"/>
              <w:snapToGrid w:val="0"/>
              <w:rPr>
                <w:szCs w:val="21"/>
              </w:rPr>
            </w:pPr>
            <w:r>
              <w:rPr>
                <w:rFonts w:hint="eastAsia"/>
                <w:szCs w:val="21"/>
              </w:rPr>
              <w:t>职业性中暑（见GBZ 41）</w:t>
            </w:r>
          </w:p>
        </w:tc>
        <w:tc>
          <w:tcPr>
            <w:tcW w:w="1758" w:type="dxa"/>
            <w:vAlign w:val="center"/>
          </w:tcPr>
          <w:p>
            <w:pPr>
              <w:autoSpaceDE w:val="0"/>
              <w:autoSpaceDN w:val="0"/>
              <w:adjustRightInd w:val="0"/>
              <w:snapToGrid w:val="0"/>
              <w:rPr>
                <w:szCs w:val="21"/>
              </w:rPr>
            </w:pPr>
            <w:r>
              <w:rPr>
                <w:rFonts w:hint="eastAsia"/>
                <w:szCs w:val="21"/>
              </w:rPr>
              <w:t>——</w:t>
            </w:r>
          </w:p>
        </w:tc>
        <w:tc>
          <w:tcPr>
            <w:tcW w:w="1507" w:type="dxa"/>
            <w:vMerge w:val="restart"/>
            <w:tcBorders>
              <w:right w:val="single" w:color="000000" w:sz="8" w:space="0"/>
            </w:tcBorders>
            <w:vAlign w:val="center"/>
          </w:tcPr>
          <w:p>
            <w:pPr>
              <w:autoSpaceDE w:val="0"/>
              <w:autoSpaceDN w:val="0"/>
              <w:adjustRightInd w:val="0"/>
              <w:snapToGrid w:val="0"/>
              <w:rPr>
                <w:szCs w:val="21"/>
              </w:rPr>
            </w:pPr>
            <w:r>
              <w:rPr>
                <w:rFonts w:hint="eastAsia"/>
                <w:szCs w:val="21"/>
              </w:rPr>
              <w:t>1年，应在每年高温季节到来之前进行</w:t>
            </w: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必检项目</w:t>
            </w:r>
          </w:p>
        </w:tc>
        <w:tc>
          <w:tcPr>
            <w:tcW w:w="6804" w:type="dxa"/>
            <w:gridSpan w:val="2"/>
            <w:vAlign w:val="center"/>
          </w:tcPr>
          <w:p>
            <w:pPr>
              <w:autoSpaceDE w:val="0"/>
              <w:autoSpaceDN w:val="0"/>
              <w:adjustRightInd w:val="0"/>
              <w:snapToGrid w:val="0"/>
              <w:rPr>
                <w:szCs w:val="21"/>
              </w:rPr>
            </w:pPr>
            <w:r>
              <w:rPr>
                <w:rFonts w:hint="eastAsia"/>
                <w:szCs w:val="21"/>
              </w:rPr>
              <w:t>血常规、尿常规、血清ALT、心电图、血糖</w:t>
            </w:r>
          </w:p>
        </w:tc>
        <w:tc>
          <w:tcPr>
            <w:tcW w:w="1984" w:type="dxa"/>
            <w:vAlign w:val="center"/>
          </w:tcPr>
          <w:p>
            <w:pPr>
              <w:autoSpaceDE w:val="0"/>
              <w:autoSpaceDN w:val="0"/>
              <w:adjustRightInd w:val="0"/>
              <w:snapToGrid w:val="0"/>
              <w:rPr>
                <w:szCs w:val="21"/>
              </w:rPr>
            </w:pPr>
            <w:r>
              <w:rPr>
                <w:rFonts w:hint="eastAsia"/>
                <w:szCs w:val="21"/>
              </w:rPr>
              <w:t>血常规、尿常规、血电解质、肾功能</w:t>
            </w:r>
          </w:p>
        </w:tc>
        <w:tc>
          <w:tcPr>
            <w:tcW w:w="1758" w:type="dxa"/>
            <w:vAlign w:val="center"/>
          </w:tcPr>
          <w:p>
            <w:pPr>
              <w:autoSpaceDE w:val="0"/>
              <w:autoSpaceDN w:val="0"/>
              <w:adjustRightInd w:val="0"/>
              <w:snapToGrid w:val="0"/>
              <w:rPr>
                <w:szCs w:val="21"/>
              </w:rPr>
            </w:pPr>
            <w:r>
              <w:rPr>
                <w:rFonts w:hint="eastAsia"/>
                <w:szCs w:val="21"/>
              </w:rPr>
              <w:t>——</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选检项目</w:t>
            </w:r>
          </w:p>
        </w:tc>
        <w:tc>
          <w:tcPr>
            <w:tcW w:w="6804" w:type="dxa"/>
            <w:gridSpan w:val="2"/>
            <w:vAlign w:val="center"/>
          </w:tcPr>
          <w:p>
            <w:pPr>
              <w:autoSpaceDE w:val="0"/>
              <w:autoSpaceDN w:val="0"/>
              <w:adjustRightInd w:val="0"/>
              <w:snapToGrid w:val="0"/>
              <w:rPr>
                <w:szCs w:val="21"/>
              </w:rPr>
            </w:pPr>
            <w:r>
              <w:rPr>
                <w:rFonts w:hint="eastAsia"/>
                <w:szCs w:val="21"/>
              </w:rPr>
              <w:t>有甲亢病史可检查血清游离甲状腺素(FT4)、血清游离三碘甲腺原氨酸(FT3)、  促甲状腺激素(TSH)</w:t>
            </w:r>
          </w:p>
        </w:tc>
        <w:tc>
          <w:tcPr>
            <w:tcW w:w="1984" w:type="dxa"/>
            <w:vAlign w:val="center"/>
          </w:tcPr>
          <w:p>
            <w:pPr>
              <w:autoSpaceDE w:val="0"/>
              <w:autoSpaceDN w:val="0"/>
              <w:adjustRightInd w:val="0"/>
              <w:snapToGrid w:val="0"/>
              <w:rPr>
                <w:szCs w:val="21"/>
              </w:rPr>
            </w:pPr>
            <w:r>
              <w:rPr>
                <w:rFonts w:hint="eastAsia"/>
                <w:szCs w:val="21"/>
              </w:rPr>
              <w:t>必要时进行作业场所现场调查</w:t>
            </w:r>
          </w:p>
        </w:tc>
        <w:tc>
          <w:tcPr>
            <w:tcW w:w="1758" w:type="dxa"/>
            <w:vAlign w:val="center"/>
          </w:tcPr>
          <w:p>
            <w:pPr>
              <w:autoSpaceDE w:val="0"/>
              <w:autoSpaceDN w:val="0"/>
              <w:adjustRightInd w:val="0"/>
              <w:snapToGrid w:val="0"/>
              <w:rPr>
                <w:szCs w:val="21"/>
              </w:rPr>
            </w:pPr>
            <w:r>
              <w:rPr>
                <w:rFonts w:hint="eastAsia"/>
                <w:szCs w:val="21"/>
              </w:rPr>
              <w:t>——</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061" w:type="dxa"/>
            <w:vMerge w:val="restart"/>
            <w:tcBorders>
              <w:left w:val="single" w:color="000000" w:sz="8" w:space="0"/>
            </w:tcBorders>
            <w:vAlign w:val="center"/>
          </w:tcPr>
          <w:p>
            <w:pPr>
              <w:autoSpaceDE w:val="0"/>
              <w:autoSpaceDN w:val="0"/>
              <w:adjustRightInd w:val="0"/>
              <w:snapToGrid w:val="0"/>
              <w:rPr>
                <w:szCs w:val="21"/>
              </w:rPr>
            </w:pPr>
            <w:r>
              <w:rPr>
                <w:rFonts w:hint="eastAsia"/>
                <w:szCs w:val="21"/>
              </w:rPr>
              <w:t>紫外辐射（紫外线）</w:t>
            </w:r>
          </w:p>
        </w:tc>
        <w:tc>
          <w:tcPr>
            <w:tcW w:w="1056" w:type="dxa"/>
            <w:vAlign w:val="center"/>
          </w:tcPr>
          <w:p>
            <w:pPr>
              <w:autoSpaceDE w:val="0"/>
              <w:autoSpaceDN w:val="0"/>
              <w:adjustRightInd w:val="0"/>
              <w:snapToGrid w:val="0"/>
              <w:rPr>
                <w:szCs w:val="21"/>
              </w:rPr>
            </w:pPr>
            <w:r>
              <w:rPr>
                <w:rFonts w:hint="eastAsia"/>
                <w:szCs w:val="21"/>
              </w:rPr>
              <w:t>目标疾病</w:t>
            </w:r>
          </w:p>
        </w:tc>
        <w:tc>
          <w:tcPr>
            <w:tcW w:w="2693" w:type="dxa"/>
            <w:vAlign w:val="center"/>
          </w:tcPr>
          <w:p>
            <w:pPr>
              <w:adjustRightInd w:val="0"/>
              <w:snapToGrid w:val="0"/>
              <w:rPr>
                <w:szCs w:val="21"/>
              </w:rPr>
            </w:pPr>
            <w:r>
              <w:rPr>
                <w:rFonts w:hint="eastAsia"/>
                <w:szCs w:val="21"/>
              </w:rPr>
              <w:t>职业禁忌证：</w:t>
            </w:r>
          </w:p>
          <w:p>
            <w:pPr>
              <w:adjustRightInd w:val="0"/>
              <w:snapToGrid w:val="0"/>
              <w:rPr>
                <w:szCs w:val="21"/>
              </w:rPr>
            </w:pPr>
            <w:r>
              <w:rPr>
                <w:rFonts w:hint="eastAsia"/>
                <w:szCs w:val="21"/>
              </w:rPr>
              <w:t>a)活动性角膜疾病；</w:t>
            </w:r>
          </w:p>
          <w:p>
            <w:pPr>
              <w:adjustRightInd w:val="0"/>
              <w:snapToGrid w:val="0"/>
              <w:rPr>
                <w:szCs w:val="21"/>
              </w:rPr>
            </w:pPr>
            <w:r>
              <w:rPr>
                <w:rFonts w:hint="eastAsia"/>
                <w:szCs w:val="21"/>
              </w:rPr>
              <w:t>b)白内障；</w:t>
            </w:r>
          </w:p>
          <w:p>
            <w:pPr>
              <w:adjustRightInd w:val="0"/>
              <w:snapToGrid w:val="0"/>
              <w:rPr>
                <w:szCs w:val="21"/>
              </w:rPr>
            </w:pPr>
            <w:r>
              <w:rPr>
                <w:rFonts w:hint="eastAsia"/>
                <w:szCs w:val="21"/>
              </w:rPr>
              <w:t>c)  面、手背和前臂等暴露部位严重的皮肤病；</w:t>
            </w:r>
          </w:p>
          <w:p>
            <w:pPr>
              <w:adjustRightInd w:val="0"/>
              <w:snapToGrid w:val="0"/>
              <w:rPr>
                <w:szCs w:val="21"/>
              </w:rPr>
            </w:pPr>
            <w:r>
              <w:rPr>
                <w:rFonts w:hint="eastAsia"/>
                <w:szCs w:val="21"/>
              </w:rPr>
              <w:t>d)白化病</w:t>
            </w:r>
          </w:p>
        </w:tc>
        <w:tc>
          <w:tcPr>
            <w:tcW w:w="4111" w:type="dxa"/>
            <w:vAlign w:val="center"/>
          </w:tcPr>
          <w:p>
            <w:pPr>
              <w:adjustRightInd w:val="0"/>
              <w:snapToGrid w:val="0"/>
              <w:rPr>
                <w:szCs w:val="21"/>
              </w:rPr>
            </w:pPr>
            <w:r>
              <w:rPr>
                <w:rFonts w:hint="eastAsia"/>
                <w:szCs w:val="21"/>
              </w:rPr>
              <w:t>a)职业病：</w:t>
            </w:r>
          </w:p>
          <w:p>
            <w:pPr>
              <w:adjustRightInd w:val="0"/>
              <w:snapToGrid w:val="0"/>
              <w:rPr>
                <w:szCs w:val="21"/>
              </w:rPr>
            </w:pPr>
            <w:r>
              <w:rPr>
                <w:rFonts w:hint="eastAsia"/>
                <w:szCs w:val="21"/>
              </w:rPr>
              <w:t>1)  职业性电光性皮炎（见GBZ 19）；</w:t>
            </w:r>
          </w:p>
          <w:p>
            <w:pPr>
              <w:adjustRightInd w:val="0"/>
              <w:snapToGrid w:val="0"/>
              <w:rPr>
                <w:szCs w:val="21"/>
              </w:rPr>
            </w:pPr>
            <w:r>
              <w:rPr>
                <w:rFonts w:hint="eastAsia"/>
                <w:szCs w:val="21"/>
              </w:rPr>
              <w:t>2)职业性白内障(见GBZ 35)；</w:t>
            </w:r>
          </w:p>
          <w:p>
            <w:pPr>
              <w:adjustRightInd w:val="0"/>
              <w:snapToGrid w:val="0"/>
              <w:rPr>
                <w:szCs w:val="21"/>
              </w:rPr>
            </w:pPr>
            <w:r>
              <w:rPr>
                <w:rFonts w:hint="eastAsia"/>
                <w:szCs w:val="21"/>
              </w:rPr>
              <w:t>b)职业禁忌证：活动性角膜疾病</w:t>
            </w:r>
          </w:p>
        </w:tc>
        <w:tc>
          <w:tcPr>
            <w:tcW w:w="1984" w:type="dxa"/>
            <w:vAlign w:val="center"/>
          </w:tcPr>
          <w:p>
            <w:pPr>
              <w:adjustRightInd w:val="0"/>
              <w:snapToGrid w:val="0"/>
              <w:rPr>
                <w:szCs w:val="21"/>
              </w:rPr>
            </w:pPr>
            <w:r>
              <w:rPr>
                <w:rFonts w:hint="eastAsia"/>
                <w:szCs w:val="21"/>
              </w:rPr>
              <w:t>a)职业性急性电光性眼炎（紫外线角膜结膜炎）（见GBZ 9）；</w:t>
            </w:r>
          </w:p>
          <w:p>
            <w:pPr>
              <w:autoSpaceDE w:val="0"/>
              <w:autoSpaceDN w:val="0"/>
              <w:adjustRightInd w:val="0"/>
              <w:snapToGrid w:val="0"/>
              <w:rPr>
                <w:szCs w:val="21"/>
              </w:rPr>
            </w:pPr>
            <w:r>
              <w:rPr>
                <w:rFonts w:hint="eastAsia"/>
                <w:szCs w:val="21"/>
              </w:rPr>
              <w:t>b)职业性急性电光性皮炎(见GBZ 19)</w:t>
            </w:r>
          </w:p>
        </w:tc>
        <w:tc>
          <w:tcPr>
            <w:tcW w:w="1758" w:type="dxa"/>
            <w:vAlign w:val="center"/>
          </w:tcPr>
          <w:p>
            <w:pPr>
              <w:autoSpaceDE w:val="0"/>
              <w:autoSpaceDN w:val="0"/>
              <w:adjustRightInd w:val="0"/>
              <w:snapToGrid w:val="0"/>
              <w:rPr>
                <w:szCs w:val="21"/>
              </w:rPr>
            </w:pPr>
            <w:r>
              <w:rPr>
                <w:rFonts w:hint="eastAsia"/>
                <w:szCs w:val="21"/>
              </w:rPr>
              <w:t>职业性白内障</w:t>
            </w:r>
          </w:p>
        </w:tc>
        <w:tc>
          <w:tcPr>
            <w:tcW w:w="1507" w:type="dxa"/>
            <w:vMerge w:val="restart"/>
            <w:tcBorders>
              <w:right w:val="single" w:color="000000" w:sz="8" w:space="0"/>
            </w:tcBorders>
            <w:vAlign w:val="center"/>
          </w:tcPr>
          <w:p>
            <w:pPr>
              <w:autoSpaceDE w:val="0"/>
              <w:autoSpaceDN w:val="0"/>
              <w:adjustRightInd w:val="0"/>
              <w:snapToGrid w:val="0"/>
              <w:rPr>
                <w:szCs w:val="21"/>
              </w:rPr>
            </w:pPr>
            <w:r>
              <w:rPr>
                <w:rFonts w:hint="eastAsia"/>
                <w:szCs w:val="21"/>
              </w:rPr>
              <w:t>在岗期间职业健康检查周期：2年</w:t>
            </w: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必检项目</w:t>
            </w:r>
          </w:p>
        </w:tc>
        <w:tc>
          <w:tcPr>
            <w:tcW w:w="10546" w:type="dxa"/>
            <w:gridSpan w:val="4"/>
            <w:vAlign w:val="center"/>
          </w:tcPr>
          <w:p>
            <w:pPr>
              <w:autoSpaceDE w:val="0"/>
              <w:autoSpaceDN w:val="0"/>
              <w:adjustRightInd w:val="0"/>
              <w:snapToGrid w:val="0"/>
              <w:rPr>
                <w:szCs w:val="21"/>
              </w:rPr>
            </w:pPr>
            <w:r>
              <w:rPr>
                <w:rFonts w:hint="eastAsia"/>
                <w:szCs w:val="21"/>
              </w:rPr>
              <w:t>血常规、尿常规、血清ALT、心电图</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061" w:type="dxa"/>
            <w:vMerge w:val="restart"/>
            <w:tcBorders>
              <w:left w:val="single" w:color="000000" w:sz="8" w:space="0"/>
            </w:tcBorders>
            <w:vAlign w:val="center"/>
          </w:tcPr>
          <w:p>
            <w:pPr>
              <w:autoSpaceDE w:val="0"/>
              <w:autoSpaceDN w:val="0"/>
              <w:adjustRightInd w:val="0"/>
              <w:snapToGrid w:val="0"/>
              <w:rPr>
                <w:szCs w:val="21"/>
              </w:rPr>
            </w:pPr>
            <w:r>
              <w:rPr>
                <w:rFonts w:hint="eastAsia"/>
                <w:szCs w:val="21"/>
              </w:rPr>
              <w:t>手传振动</w:t>
            </w:r>
          </w:p>
        </w:tc>
        <w:tc>
          <w:tcPr>
            <w:tcW w:w="1056" w:type="dxa"/>
            <w:vAlign w:val="center"/>
          </w:tcPr>
          <w:p>
            <w:pPr>
              <w:autoSpaceDE w:val="0"/>
              <w:autoSpaceDN w:val="0"/>
              <w:adjustRightInd w:val="0"/>
              <w:snapToGrid w:val="0"/>
              <w:rPr>
                <w:szCs w:val="21"/>
              </w:rPr>
            </w:pPr>
            <w:r>
              <w:rPr>
                <w:rFonts w:hint="eastAsia"/>
                <w:szCs w:val="21"/>
              </w:rPr>
              <w:t>目标疾病</w:t>
            </w:r>
          </w:p>
        </w:tc>
        <w:tc>
          <w:tcPr>
            <w:tcW w:w="2693" w:type="dxa"/>
            <w:vAlign w:val="center"/>
          </w:tcPr>
          <w:p>
            <w:pPr>
              <w:adjustRightInd w:val="0"/>
              <w:snapToGrid w:val="0"/>
              <w:rPr>
                <w:szCs w:val="21"/>
              </w:rPr>
            </w:pPr>
            <w:r>
              <w:rPr>
                <w:rFonts w:hint="eastAsia"/>
                <w:szCs w:val="21"/>
              </w:rPr>
              <w:t>职业禁忌证：</w:t>
            </w:r>
          </w:p>
          <w:p>
            <w:pPr>
              <w:adjustRightInd w:val="0"/>
              <w:snapToGrid w:val="0"/>
              <w:rPr>
                <w:szCs w:val="21"/>
              </w:rPr>
            </w:pPr>
            <w:r>
              <w:rPr>
                <w:rFonts w:hint="eastAsia"/>
                <w:szCs w:val="21"/>
              </w:rPr>
              <w:t>a)多发性周围神经病；</w:t>
            </w:r>
          </w:p>
          <w:p>
            <w:pPr>
              <w:adjustRightInd w:val="0"/>
              <w:snapToGrid w:val="0"/>
              <w:rPr>
                <w:szCs w:val="21"/>
              </w:rPr>
            </w:pPr>
            <w:r>
              <w:rPr>
                <w:rFonts w:hint="eastAsia"/>
                <w:szCs w:val="21"/>
              </w:rPr>
              <w:t>b)雷诺病。</w:t>
            </w:r>
          </w:p>
        </w:tc>
        <w:tc>
          <w:tcPr>
            <w:tcW w:w="4111" w:type="dxa"/>
            <w:vAlign w:val="center"/>
          </w:tcPr>
          <w:p>
            <w:pPr>
              <w:adjustRightInd w:val="0"/>
              <w:snapToGrid w:val="0"/>
              <w:rPr>
                <w:szCs w:val="21"/>
              </w:rPr>
            </w:pPr>
            <w:r>
              <w:rPr>
                <w:rFonts w:hint="eastAsia"/>
                <w:szCs w:val="21"/>
              </w:rPr>
              <w:t>a)职业病：</w:t>
            </w:r>
          </w:p>
          <w:p>
            <w:pPr>
              <w:adjustRightInd w:val="0"/>
              <w:snapToGrid w:val="0"/>
              <w:rPr>
                <w:szCs w:val="21"/>
              </w:rPr>
            </w:pPr>
            <w:r>
              <w:rPr>
                <w:rFonts w:hint="eastAsia"/>
                <w:szCs w:val="21"/>
              </w:rPr>
              <w:t>职业性手臂振动病（见GBZ 7）；</w:t>
            </w:r>
          </w:p>
          <w:p>
            <w:pPr>
              <w:adjustRightInd w:val="0"/>
              <w:snapToGrid w:val="0"/>
              <w:rPr>
                <w:szCs w:val="21"/>
              </w:rPr>
            </w:pPr>
            <w:r>
              <w:rPr>
                <w:rFonts w:hint="eastAsia"/>
                <w:szCs w:val="21"/>
              </w:rPr>
              <w:t>b)职业禁忌证：多发性周围神经病。</w:t>
            </w:r>
          </w:p>
        </w:tc>
        <w:tc>
          <w:tcPr>
            <w:tcW w:w="1984" w:type="dxa"/>
            <w:vAlign w:val="center"/>
          </w:tcPr>
          <w:p>
            <w:pPr>
              <w:adjustRightInd w:val="0"/>
              <w:snapToGrid w:val="0"/>
              <w:rPr>
                <w:szCs w:val="21"/>
              </w:rPr>
            </w:pPr>
            <w:r>
              <w:rPr>
                <w:rFonts w:hint="eastAsia"/>
                <w:szCs w:val="21"/>
              </w:rPr>
              <w:t>——</w:t>
            </w:r>
          </w:p>
        </w:tc>
        <w:tc>
          <w:tcPr>
            <w:tcW w:w="1758" w:type="dxa"/>
            <w:vAlign w:val="center"/>
          </w:tcPr>
          <w:p>
            <w:pPr>
              <w:autoSpaceDE w:val="0"/>
              <w:autoSpaceDN w:val="0"/>
              <w:adjustRightInd w:val="0"/>
              <w:snapToGrid w:val="0"/>
              <w:rPr>
                <w:szCs w:val="21"/>
              </w:rPr>
            </w:pPr>
            <w:r>
              <w:rPr>
                <w:rFonts w:hint="eastAsia"/>
                <w:szCs w:val="21"/>
              </w:rPr>
              <w:t>职业病：职业性手臂振动病（见GBZ 7）</w:t>
            </w:r>
          </w:p>
        </w:tc>
        <w:tc>
          <w:tcPr>
            <w:tcW w:w="1507" w:type="dxa"/>
            <w:vMerge w:val="restart"/>
            <w:tcBorders>
              <w:right w:val="single" w:color="000000" w:sz="8" w:space="0"/>
            </w:tcBorders>
            <w:vAlign w:val="center"/>
          </w:tcPr>
          <w:p>
            <w:pPr>
              <w:autoSpaceDE w:val="0"/>
              <w:autoSpaceDN w:val="0"/>
              <w:adjustRightInd w:val="0"/>
              <w:snapToGrid w:val="0"/>
              <w:rPr>
                <w:szCs w:val="21"/>
              </w:rPr>
            </w:pPr>
            <w:r>
              <w:rPr>
                <w:rFonts w:hint="eastAsia"/>
                <w:szCs w:val="21"/>
              </w:rPr>
              <w:t>在岗期间职业健康检查周期：2年</w:t>
            </w: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必检项目</w:t>
            </w:r>
          </w:p>
        </w:tc>
        <w:tc>
          <w:tcPr>
            <w:tcW w:w="2693" w:type="dxa"/>
            <w:vAlign w:val="center"/>
          </w:tcPr>
          <w:p>
            <w:pPr>
              <w:adjustRightInd w:val="0"/>
              <w:snapToGrid w:val="0"/>
              <w:rPr>
                <w:szCs w:val="21"/>
              </w:rPr>
            </w:pPr>
            <w:r>
              <w:rPr>
                <w:rFonts w:hint="eastAsia"/>
                <w:szCs w:val="21"/>
              </w:rPr>
              <w:t>血常规、尿常规、血清ALT、心电图</w:t>
            </w:r>
          </w:p>
        </w:tc>
        <w:tc>
          <w:tcPr>
            <w:tcW w:w="4111" w:type="dxa"/>
            <w:vAlign w:val="center"/>
          </w:tcPr>
          <w:p>
            <w:pPr>
              <w:autoSpaceDE w:val="0"/>
              <w:autoSpaceDN w:val="0"/>
              <w:adjustRightInd w:val="0"/>
              <w:snapToGrid w:val="0"/>
              <w:rPr>
                <w:szCs w:val="21"/>
              </w:rPr>
            </w:pPr>
            <w:r>
              <w:rPr>
                <w:rFonts w:hint="eastAsia"/>
                <w:szCs w:val="21"/>
              </w:rPr>
              <w:t>血常规</w:t>
            </w:r>
          </w:p>
        </w:tc>
        <w:tc>
          <w:tcPr>
            <w:tcW w:w="1984" w:type="dxa"/>
            <w:vAlign w:val="center"/>
          </w:tcPr>
          <w:p>
            <w:pPr>
              <w:autoSpaceDE w:val="0"/>
              <w:autoSpaceDN w:val="0"/>
              <w:adjustRightInd w:val="0"/>
              <w:snapToGrid w:val="0"/>
              <w:rPr>
                <w:szCs w:val="21"/>
              </w:rPr>
            </w:pPr>
            <w:r>
              <w:rPr>
                <w:rFonts w:hint="eastAsia"/>
                <w:szCs w:val="21"/>
              </w:rPr>
              <w:t>——</w:t>
            </w:r>
          </w:p>
        </w:tc>
        <w:tc>
          <w:tcPr>
            <w:tcW w:w="1758" w:type="dxa"/>
            <w:vAlign w:val="center"/>
          </w:tcPr>
          <w:p>
            <w:pPr>
              <w:autoSpaceDE w:val="0"/>
              <w:autoSpaceDN w:val="0"/>
              <w:adjustRightInd w:val="0"/>
              <w:snapToGrid w:val="0"/>
              <w:rPr>
                <w:szCs w:val="21"/>
              </w:rPr>
            </w:pPr>
            <w:r>
              <w:rPr>
                <w:rFonts w:hint="eastAsia"/>
                <w:szCs w:val="21"/>
              </w:rPr>
              <w:t>同在岗期间</w:t>
            </w:r>
          </w:p>
        </w:tc>
        <w:tc>
          <w:tcPr>
            <w:tcW w:w="1507" w:type="dxa"/>
            <w:vMerge w:val="continue"/>
            <w:tcBorders>
              <w:right w:val="single" w:color="000000" w:sz="8" w:space="0"/>
            </w:tcBorders>
            <w:vAlign w:val="center"/>
          </w:tcPr>
          <w:p>
            <w:pPr>
              <w:widowControl/>
              <w:jc w:val="left"/>
              <w:rPr>
                <w:szCs w:val="21"/>
              </w:rPr>
            </w:pPr>
          </w:p>
        </w:tc>
      </w:tr>
      <w:tr>
        <w:tblPrEx>
          <w:tblBorders>
            <w:top w:val="none" w:color="auto" w:sz="0" w:space="0"/>
            <w:left w:val="none" w:color="auto" w:sz="0" w:space="0"/>
            <w:bottom w:val="single" w:color="000000" w:sz="8" w:space="0"/>
            <w:right w:val="none" w:color="auto" w:sz="0" w:space="0"/>
            <w:insideH w:val="single" w:color="000000" w:sz="4" w:space="0"/>
            <w:insideV w:val="single" w:color="000000" w:sz="4" w:space="0"/>
          </w:tblBorders>
          <w:tblCellMar>
            <w:top w:w="0" w:type="dxa"/>
            <w:left w:w="108" w:type="dxa"/>
            <w:bottom w:w="0" w:type="dxa"/>
            <w:right w:w="108" w:type="dxa"/>
          </w:tblCellMar>
        </w:tblPrEx>
        <w:trPr>
          <w:trHeight w:val="343" w:hRule="atLeast"/>
          <w:jc w:val="center"/>
        </w:trPr>
        <w:tc>
          <w:tcPr>
            <w:tcW w:w="1061" w:type="dxa"/>
            <w:vMerge w:val="continue"/>
            <w:tcBorders>
              <w:left w:val="single" w:color="000000" w:sz="8" w:space="0"/>
            </w:tcBorders>
            <w:vAlign w:val="center"/>
          </w:tcPr>
          <w:p>
            <w:pPr>
              <w:widowControl/>
              <w:jc w:val="left"/>
              <w:rPr>
                <w:szCs w:val="21"/>
              </w:rPr>
            </w:pPr>
          </w:p>
        </w:tc>
        <w:tc>
          <w:tcPr>
            <w:tcW w:w="1056" w:type="dxa"/>
            <w:vAlign w:val="center"/>
          </w:tcPr>
          <w:p>
            <w:pPr>
              <w:autoSpaceDE w:val="0"/>
              <w:autoSpaceDN w:val="0"/>
              <w:adjustRightInd w:val="0"/>
              <w:snapToGrid w:val="0"/>
              <w:rPr>
                <w:szCs w:val="21"/>
              </w:rPr>
            </w:pPr>
            <w:r>
              <w:rPr>
                <w:rFonts w:hint="eastAsia"/>
                <w:szCs w:val="21"/>
              </w:rPr>
              <w:t>选检项目</w:t>
            </w:r>
          </w:p>
        </w:tc>
        <w:tc>
          <w:tcPr>
            <w:tcW w:w="6804" w:type="dxa"/>
            <w:gridSpan w:val="2"/>
            <w:vAlign w:val="center"/>
          </w:tcPr>
          <w:p>
            <w:pPr>
              <w:autoSpaceDE w:val="0"/>
              <w:autoSpaceDN w:val="0"/>
              <w:adjustRightInd w:val="0"/>
              <w:snapToGrid w:val="0"/>
              <w:rPr>
                <w:szCs w:val="21"/>
              </w:rPr>
            </w:pPr>
            <w:r>
              <w:rPr>
                <w:rFonts w:hint="eastAsia"/>
                <w:szCs w:val="21"/>
              </w:rPr>
              <w:t>冷水复温试验、神经-肌电图、指端振觉、指端温度觉</w:t>
            </w:r>
          </w:p>
        </w:tc>
        <w:tc>
          <w:tcPr>
            <w:tcW w:w="1984" w:type="dxa"/>
            <w:vAlign w:val="center"/>
          </w:tcPr>
          <w:p>
            <w:pPr>
              <w:autoSpaceDE w:val="0"/>
              <w:autoSpaceDN w:val="0"/>
              <w:adjustRightInd w:val="0"/>
              <w:snapToGrid w:val="0"/>
              <w:rPr>
                <w:szCs w:val="21"/>
              </w:rPr>
            </w:pPr>
            <w:r>
              <w:rPr>
                <w:rFonts w:hint="eastAsia"/>
                <w:szCs w:val="21"/>
              </w:rPr>
              <w:t>——</w:t>
            </w:r>
          </w:p>
        </w:tc>
        <w:tc>
          <w:tcPr>
            <w:tcW w:w="1758" w:type="dxa"/>
            <w:vAlign w:val="center"/>
          </w:tcPr>
          <w:p>
            <w:pPr>
              <w:autoSpaceDE w:val="0"/>
              <w:autoSpaceDN w:val="0"/>
              <w:adjustRightInd w:val="0"/>
              <w:snapToGrid w:val="0"/>
              <w:rPr>
                <w:szCs w:val="21"/>
              </w:rPr>
            </w:pPr>
            <w:r>
              <w:rPr>
                <w:rFonts w:hint="eastAsia"/>
                <w:szCs w:val="21"/>
              </w:rPr>
              <w:t>同在岗期间</w:t>
            </w:r>
          </w:p>
        </w:tc>
        <w:tc>
          <w:tcPr>
            <w:tcW w:w="1507" w:type="dxa"/>
            <w:vMerge w:val="continue"/>
            <w:tcBorders>
              <w:right w:val="single" w:color="000000" w:sz="8" w:space="0"/>
            </w:tcBorders>
            <w:vAlign w:val="center"/>
          </w:tcPr>
          <w:p>
            <w:pPr>
              <w:widowControl/>
              <w:jc w:val="left"/>
              <w:rPr>
                <w:szCs w:val="21"/>
              </w:rPr>
            </w:pPr>
          </w:p>
        </w:tc>
      </w:tr>
    </w:tbl>
    <w:p>
      <w:pPr>
        <w:pStyle w:val="40"/>
        <w:spacing w:line="240" w:lineRule="auto"/>
        <w:ind w:firstLine="240" w:firstLineChars="100"/>
        <w:rPr>
          <w:rFonts w:ascii="Times New Roman" w:hAnsi="Times New Roman"/>
          <w:sz w:val="21"/>
          <w:szCs w:val="21"/>
        </w:rPr>
        <w:sectPr>
          <w:pgSz w:w="16838" w:h="11906" w:orient="landscape"/>
          <w:pgMar w:top="1418" w:right="1304" w:bottom="1418" w:left="1304" w:header="851" w:footer="992" w:gutter="0"/>
          <w:pgBorders>
            <w:top w:val="none" w:sz="0" w:space="0"/>
            <w:left w:val="none" w:sz="0" w:space="0"/>
            <w:bottom w:val="none" w:sz="0" w:space="0"/>
            <w:right w:val="none" w:sz="0" w:space="0"/>
          </w:pgBorders>
          <w:cols w:space="720" w:num="1"/>
          <w:docGrid w:type="linesAndChars" w:linePitch="312" w:charSpace="0"/>
        </w:sectPr>
      </w:pPr>
      <w:r>
        <w:rPr>
          <w:rFonts w:ascii="Times New Roman" w:cs="Times New Roman"/>
        </w:rPr>
        <w:t>注：</w:t>
      </w:r>
      <w:r>
        <w:rPr>
          <w:rFonts w:hint="eastAsia" w:ascii="Times New Roman" w:hAnsi="Times New Roman"/>
          <w:sz w:val="21"/>
          <w:szCs w:val="21"/>
        </w:rPr>
        <w:t>“</w:t>
      </w:r>
      <w:r>
        <w:rPr>
          <w:rFonts w:hint="eastAsia"/>
          <w:szCs w:val="21"/>
        </w:rPr>
        <w:t>——</w:t>
      </w:r>
      <w:r>
        <w:rPr>
          <w:rFonts w:hint="eastAsia" w:ascii="Times New Roman" w:hAnsi="Times New Roman"/>
          <w:sz w:val="21"/>
          <w:szCs w:val="21"/>
        </w:rPr>
        <w:t>”表示无相应检查项目。</w:t>
      </w:r>
    </w:p>
    <w:p>
      <w:pPr>
        <w:pageBreakBefore/>
        <w:widowControl/>
        <w:spacing w:line="360" w:lineRule="auto"/>
        <w:jc w:val="center"/>
        <w:outlineLvl w:val="0"/>
        <w:rPr>
          <w:rFonts w:ascii="Times New Roman" w:hAnsi="Times New Roman"/>
          <w:b/>
          <w:bCs/>
          <w:kern w:val="0"/>
          <w:sz w:val="28"/>
          <w:szCs w:val="28"/>
        </w:rPr>
      </w:pPr>
      <w:bookmarkStart w:id="84" w:name="_Toc94050279"/>
      <w:bookmarkStart w:id="85" w:name="_Toc101823026"/>
      <w:r>
        <w:rPr>
          <w:rFonts w:ascii="Times New Roman" w:hAnsi="Times New Roman"/>
          <w:b/>
          <w:bCs/>
          <w:kern w:val="0"/>
          <w:sz w:val="28"/>
          <w:szCs w:val="28"/>
        </w:rPr>
        <w:t xml:space="preserve">附录D </w:t>
      </w:r>
      <w:r>
        <w:rPr>
          <w:rFonts w:hint="eastAsia" w:ascii="Times New Roman" w:hAnsi="Times New Roman"/>
          <w:b/>
          <w:bCs/>
          <w:kern w:val="0"/>
          <w:sz w:val="28"/>
          <w:szCs w:val="28"/>
        </w:rPr>
        <w:t>建筑施工现场常用呼吸器和护听器的选用</w:t>
      </w:r>
      <w:bookmarkEnd w:id="84"/>
      <w:bookmarkEnd w:id="85"/>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1687"/>
        <w:gridCol w:w="2994"/>
        <w:gridCol w:w="38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13" w:hRule="atLeast"/>
          <w:tblHeader/>
          <w:jc w:val="center"/>
        </w:trPr>
        <w:tc>
          <w:tcPr>
            <w:tcW w:w="1791" w:type="dxa"/>
            <w:tcMar>
              <w:left w:w="108" w:type="dxa"/>
              <w:right w:w="108" w:type="dxa"/>
            </w:tcMar>
            <w:vAlign w:val="center"/>
          </w:tcPr>
          <w:p>
            <w:pPr>
              <w:widowControl/>
              <w:snapToGrid w:val="0"/>
              <w:jc w:val="center"/>
              <w:rPr>
                <w:rFonts w:asciiTheme="minorEastAsia" w:hAnsiTheme="minorEastAsia"/>
                <w:szCs w:val="21"/>
              </w:rPr>
            </w:pPr>
            <w:r>
              <w:rPr>
                <w:rFonts w:cs="仿宋_GB2312" w:asciiTheme="minorEastAsia" w:hAnsiTheme="minorEastAsia"/>
                <w:kern w:val="0"/>
                <w:szCs w:val="21"/>
                <w:lang w:bidi="ar"/>
              </w:rPr>
              <w:t>危害因素</w:t>
            </w:r>
          </w:p>
        </w:tc>
        <w:tc>
          <w:tcPr>
            <w:tcW w:w="3119" w:type="dxa"/>
            <w:tcMar>
              <w:left w:w="108" w:type="dxa"/>
              <w:right w:w="108" w:type="dxa"/>
            </w:tcMar>
            <w:vAlign w:val="center"/>
          </w:tcPr>
          <w:p>
            <w:pPr>
              <w:widowControl/>
              <w:snapToGrid w:val="0"/>
              <w:jc w:val="center"/>
              <w:rPr>
                <w:rFonts w:asciiTheme="minorEastAsia" w:hAnsiTheme="minorEastAsia"/>
                <w:szCs w:val="21"/>
              </w:rPr>
            </w:pPr>
            <w:r>
              <w:rPr>
                <w:rFonts w:cs="仿宋_GB2312" w:asciiTheme="minorEastAsia" w:hAnsiTheme="minorEastAsia"/>
                <w:kern w:val="0"/>
                <w:szCs w:val="21"/>
                <w:lang w:bidi="ar"/>
              </w:rPr>
              <w:t>分类</w:t>
            </w:r>
          </w:p>
        </w:tc>
        <w:tc>
          <w:tcPr>
            <w:tcW w:w="4036" w:type="dxa"/>
            <w:tcMar>
              <w:left w:w="108" w:type="dxa"/>
              <w:right w:w="108" w:type="dxa"/>
            </w:tcMar>
            <w:vAlign w:val="center"/>
          </w:tcPr>
          <w:p>
            <w:pPr>
              <w:widowControl/>
              <w:snapToGrid w:val="0"/>
              <w:jc w:val="center"/>
              <w:rPr>
                <w:rFonts w:asciiTheme="minorEastAsia" w:hAnsiTheme="minorEastAsia"/>
                <w:szCs w:val="21"/>
              </w:rPr>
            </w:pPr>
            <w:r>
              <w:rPr>
                <w:rFonts w:cs="仿宋_GB2312" w:asciiTheme="minorEastAsia" w:hAnsiTheme="minorEastAsia"/>
                <w:kern w:val="0"/>
                <w:szCs w:val="21"/>
                <w:lang w:bidi="ar"/>
              </w:rPr>
              <w:t>要求</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91" w:type="dxa"/>
            <w:vMerge w:val="restart"/>
            <w:tcMar>
              <w:left w:w="108" w:type="dxa"/>
              <w:right w:w="108" w:type="dxa"/>
            </w:tcMar>
            <w:vAlign w:val="center"/>
          </w:tcPr>
          <w:p>
            <w:pPr>
              <w:widowControl/>
              <w:snapToGrid w:val="0"/>
              <w:jc w:val="center"/>
              <w:rPr>
                <w:rFonts w:asciiTheme="minorEastAsia" w:hAnsiTheme="minorEastAsia"/>
                <w:szCs w:val="21"/>
              </w:rPr>
            </w:pPr>
            <w:r>
              <w:rPr>
                <w:rFonts w:cs="仿宋_GB2312" w:asciiTheme="minorEastAsia" w:hAnsiTheme="minorEastAsia"/>
                <w:kern w:val="0"/>
                <w:szCs w:val="21"/>
                <w:lang w:bidi="ar"/>
              </w:rPr>
              <w:t>颗粒物</w:t>
            </w:r>
          </w:p>
        </w:tc>
        <w:tc>
          <w:tcPr>
            <w:tcW w:w="3119" w:type="dxa"/>
            <w:tcMar>
              <w:left w:w="108" w:type="dxa"/>
              <w:right w:w="108" w:type="dxa"/>
            </w:tcMar>
            <w:vAlign w:val="center"/>
          </w:tcPr>
          <w:p>
            <w:pPr>
              <w:widowControl/>
              <w:snapToGrid w:val="0"/>
              <w:jc w:val="left"/>
              <w:rPr>
                <w:rFonts w:asciiTheme="minorEastAsia" w:hAnsiTheme="minorEastAsia"/>
                <w:szCs w:val="21"/>
              </w:rPr>
            </w:pPr>
            <w:r>
              <w:rPr>
                <w:rFonts w:cs="仿宋_GB2312" w:asciiTheme="minorEastAsia" w:hAnsiTheme="minorEastAsia"/>
                <w:kern w:val="0"/>
                <w:szCs w:val="21"/>
                <w:lang w:bidi="ar"/>
              </w:rPr>
              <w:t>一般粉尘，如煤尘、水泥尘、木粉尘你、云母尘、滑石尘及其他粉尘。</w:t>
            </w:r>
          </w:p>
        </w:tc>
        <w:tc>
          <w:tcPr>
            <w:tcW w:w="4036" w:type="dxa"/>
            <w:tcMar>
              <w:left w:w="108" w:type="dxa"/>
              <w:right w:w="108" w:type="dxa"/>
            </w:tcMar>
          </w:tcPr>
          <w:p>
            <w:pPr>
              <w:widowControl/>
              <w:snapToGrid w:val="0"/>
              <w:jc w:val="left"/>
              <w:rPr>
                <w:rFonts w:asciiTheme="minorEastAsia" w:hAnsiTheme="minorEastAsia"/>
                <w:szCs w:val="21"/>
              </w:rPr>
            </w:pPr>
            <w:r>
              <w:rPr>
                <w:rFonts w:cs="仿宋_GB2312" w:asciiTheme="minorEastAsia" w:hAnsiTheme="minorEastAsia"/>
                <w:kern w:val="0"/>
                <w:szCs w:val="21"/>
                <w:lang w:bidi="ar"/>
              </w:rPr>
              <w:t>过滤效率至少满足《呼吸防护用品自吸过滤式防颗粒物呼吸器》（</w:t>
            </w:r>
            <w:r>
              <w:rPr>
                <w:rFonts w:hint="eastAsia" w:cs="微软雅黑" w:asciiTheme="minorEastAsia" w:hAnsiTheme="minorEastAsia"/>
                <w:kern w:val="0"/>
                <w:szCs w:val="21"/>
                <w:lang w:bidi="ar"/>
              </w:rPr>
              <w:t>GB2626</w:t>
            </w:r>
            <w:r>
              <w:rPr>
                <w:rFonts w:cs="仿宋_GB2312" w:asciiTheme="minorEastAsia" w:hAnsiTheme="minorEastAsia"/>
                <w:kern w:val="0"/>
                <w:szCs w:val="21"/>
                <w:lang w:bidi="ar"/>
              </w:rPr>
              <w:t>）规定的</w:t>
            </w:r>
            <w:r>
              <w:rPr>
                <w:rFonts w:hint="eastAsia" w:cs="微软雅黑" w:asciiTheme="minorEastAsia" w:hAnsiTheme="minorEastAsia"/>
                <w:kern w:val="0"/>
                <w:szCs w:val="21"/>
                <w:lang w:bidi="ar"/>
              </w:rPr>
              <w:t>KN90</w:t>
            </w:r>
            <w:r>
              <w:rPr>
                <w:rFonts w:cs="仿宋_GB2312" w:asciiTheme="minorEastAsia" w:hAnsiTheme="minorEastAsia"/>
                <w:kern w:val="0"/>
                <w:szCs w:val="21"/>
                <w:lang w:bidi="ar"/>
              </w:rPr>
              <w:t>级别的防颗粒物呼吸器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960" w:hRule="atLeast"/>
          <w:jc w:val="center"/>
        </w:trPr>
        <w:tc>
          <w:tcPr>
            <w:tcW w:w="1791" w:type="dxa"/>
            <w:vMerge w:val="continue"/>
            <w:tcMar>
              <w:left w:w="108" w:type="dxa"/>
              <w:right w:w="108" w:type="dxa"/>
            </w:tcMar>
            <w:vAlign w:val="center"/>
          </w:tcPr>
          <w:p>
            <w:pPr>
              <w:snapToGrid w:val="0"/>
              <w:rPr>
                <w:rFonts w:cs="微软雅黑" w:asciiTheme="minorEastAsia" w:hAnsiTheme="minorEastAsia"/>
                <w:szCs w:val="21"/>
              </w:rPr>
            </w:pPr>
          </w:p>
        </w:tc>
        <w:tc>
          <w:tcPr>
            <w:tcW w:w="3119" w:type="dxa"/>
            <w:tcMar>
              <w:left w:w="108" w:type="dxa"/>
              <w:right w:w="108" w:type="dxa"/>
            </w:tcMar>
            <w:vAlign w:val="center"/>
          </w:tcPr>
          <w:p>
            <w:pPr>
              <w:widowControl/>
              <w:snapToGrid w:val="0"/>
              <w:jc w:val="left"/>
              <w:rPr>
                <w:rFonts w:asciiTheme="minorEastAsia" w:hAnsiTheme="minorEastAsia"/>
                <w:szCs w:val="21"/>
              </w:rPr>
            </w:pPr>
            <w:r>
              <w:rPr>
                <w:rFonts w:cs="仿宋_GB2312" w:asciiTheme="minorEastAsia" w:hAnsiTheme="minorEastAsia"/>
                <w:kern w:val="0"/>
                <w:szCs w:val="21"/>
                <w:lang w:bidi="ar"/>
              </w:rPr>
              <w:t>石棉</w:t>
            </w:r>
          </w:p>
        </w:tc>
        <w:tc>
          <w:tcPr>
            <w:tcW w:w="4036" w:type="dxa"/>
            <w:tcMar>
              <w:left w:w="108" w:type="dxa"/>
              <w:right w:w="108" w:type="dxa"/>
            </w:tcMar>
          </w:tcPr>
          <w:p>
            <w:pPr>
              <w:widowControl/>
              <w:snapToGrid w:val="0"/>
              <w:jc w:val="left"/>
              <w:rPr>
                <w:rFonts w:asciiTheme="minorEastAsia" w:hAnsiTheme="minorEastAsia"/>
                <w:szCs w:val="21"/>
              </w:rPr>
            </w:pPr>
            <w:r>
              <w:rPr>
                <w:rFonts w:cs="仿宋_GB2312" w:asciiTheme="minorEastAsia" w:hAnsiTheme="minorEastAsia"/>
                <w:kern w:val="0"/>
                <w:szCs w:val="21"/>
                <w:lang w:bidi="ar"/>
              </w:rPr>
              <w:t>可更换式防颗粒物半面罩或全面罩，过滤效率至少满足</w:t>
            </w:r>
            <w:r>
              <w:rPr>
                <w:rFonts w:hint="eastAsia" w:cs="微软雅黑" w:asciiTheme="minorEastAsia" w:hAnsiTheme="minorEastAsia"/>
                <w:kern w:val="0"/>
                <w:szCs w:val="21"/>
                <w:lang w:bidi="ar"/>
              </w:rPr>
              <w:t>GB2626</w:t>
            </w:r>
            <w:r>
              <w:rPr>
                <w:rFonts w:cs="仿宋_GB2312" w:asciiTheme="minorEastAsia" w:hAnsiTheme="minorEastAsia"/>
                <w:kern w:val="0"/>
                <w:szCs w:val="21"/>
                <w:lang w:bidi="ar"/>
              </w:rPr>
              <w:t>规定的</w:t>
            </w:r>
            <w:r>
              <w:rPr>
                <w:rFonts w:hint="eastAsia" w:cs="微软雅黑" w:asciiTheme="minorEastAsia" w:hAnsiTheme="minorEastAsia"/>
                <w:kern w:val="0"/>
                <w:szCs w:val="21"/>
                <w:lang w:bidi="ar"/>
              </w:rPr>
              <w:t> KN95</w:t>
            </w:r>
            <w:r>
              <w:rPr>
                <w:rFonts w:cs="仿宋_GB2312" w:asciiTheme="minorEastAsia" w:hAnsiTheme="minorEastAsia"/>
                <w:kern w:val="0"/>
                <w:szCs w:val="21"/>
                <w:lang w:bidi="ar"/>
              </w:rPr>
              <w:t>级别的防颗粒物呼吸器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91" w:type="dxa"/>
            <w:vMerge w:val="continue"/>
            <w:tcMar>
              <w:left w:w="108" w:type="dxa"/>
              <w:right w:w="108" w:type="dxa"/>
            </w:tcMar>
            <w:vAlign w:val="center"/>
          </w:tcPr>
          <w:p>
            <w:pPr>
              <w:snapToGrid w:val="0"/>
              <w:rPr>
                <w:rFonts w:cs="微软雅黑" w:asciiTheme="minorEastAsia" w:hAnsiTheme="minorEastAsia"/>
                <w:szCs w:val="21"/>
              </w:rPr>
            </w:pPr>
          </w:p>
        </w:tc>
        <w:tc>
          <w:tcPr>
            <w:tcW w:w="3119" w:type="dxa"/>
            <w:tcMar>
              <w:left w:w="108" w:type="dxa"/>
              <w:right w:w="108" w:type="dxa"/>
            </w:tcMar>
            <w:vAlign w:val="center"/>
          </w:tcPr>
          <w:p>
            <w:pPr>
              <w:widowControl/>
              <w:snapToGrid w:val="0"/>
              <w:jc w:val="left"/>
              <w:rPr>
                <w:rFonts w:asciiTheme="minorEastAsia" w:hAnsiTheme="minorEastAsia"/>
                <w:szCs w:val="21"/>
              </w:rPr>
            </w:pPr>
            <w:r>
              <w:rPr>
                <w:rFonts w:cs="仿宋_GB2312" w:asciiTheme="minorEastAsia" w:hAnsiTheme="minorEastAsia"/>
                <w:kern w:val="0"/>
                <w:szCs w:val="21"/>
                <w:lang w:bidi="ar"/>
              </w:rPr>
              <w:t>矽尘、金属粉尘（如铅尘、镉尘）、砷尘、烟（如焊接烟、铸造烟）</w:t>
            </w:r>
          </w:p>
        </w:tc>
        <w:tc>
          <w:tcPr>
            <w:tcW w:w="4036" w:type="dxa"/>
            <w:tcMar>
              <w:left w:w="108" w:type="dxa"/>
              <w:right w:w="108" w:type="dxa"/>
            </w:tcMar>
          </w:tcPr>
          <w:p>
            <w:pPr>
              <w:widowControl/>
              <w:snapToGrid w:val="0"/>
              <w:jc w:val="left"/>
              <w:rPr>
                <w:rFonts w:asciiTheme="minorEastAsia" w:hAnsiTheme="minorEastAsia"/>
                <w:szCs w:val="21"/>
              </w:rPr>
            </w:pPr>
            <w:r>
              <w:rPr>
                <w:rFonts w:cs="仿宋_GB2312" w:asciiTheme="minorEastAsia" w:hAnsiTheme="minorEastAsia"/>
                <w:kern w:val="0"/>
                <w:szCs w:val="21"/>
                <w:lang w:bidi="ar"/>
              </w:rPr>
              <w:t>过滤效率至少满足</w:t>
            </w:r>
            <w:r>
              <w:rPr>
                <w:rFonts w:hint="eastAsia" w:cs="微软雅黑" w:asciiTheme="minorEastAsia" w:hAnsiTheme="minorEastAsia"/>
                <w:kern w:val="0"/>
                <w:szCs w:val="21"/>
                <w:lang w:bidi="ar"/>
              </w:rPr>
              <w:t>GB2626</w:t>
            </w:r>
            <w:r>
              <w:rPr>
                <w:rFonts w:cs="仿宋_GB2312" w:asciiTheme="minorEastAsia" w:hAnsiTheme="minorEastAsia"/>
                <w:kern w:val="0"/>
                <w:szCs w:val="21"/>
                <w:lang w:bidi="ar"/>
              </w:rPr>
              <w:t>规定的</w:t>
            </w:r>
            <w:r>
              <w:rPr>
                <w:rFonts w:hint="eastAsia" w:cs="微软雅黑" w:asciiTheme="minorEastAsia" w:hAnsiTheme="minorEastAsia"/>
                <w:kern w:val="0"/>
                <w:szCs w:val="21"/>
                <w:lang w:bidi="ar"/>
              </w:rPr>
              <w:t> KN95</w:t>
            </w:r>
            <w:r>
              <w:rPr>
                <w:rFonts w:cs="仿宋_GB2312" w:asciiTheme="minorEastAsia" w:hAnsiTheme="minorEastAsia"/>
                <w:kern w:val="0"/>
                <w:szCs w:val="21"/>
                <w:lang w:bidi="ar"/>
              </w:rPr>
              <w:t>级别的防颗粒物呼吸器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409" w:hRule="atLeast"/>
          <w:jc w:val="center"/>
        </w:trPr>
        <w:tc>
          <w:tcPr>
            <w:tcW w:w="1791" w:type="dxa"/>
            <w:vMerge w:val="continue"/>
            <w:tcMar>
              <w:left w:w="108" w:type="dxa"/>
              <w:right w:w="108" w:type="dxa"/>
            </w:tcMar>
            <w:vAlign w:val="center"/>
          </w:tcPr>
          <w:p>
            <w:pPr>
              <w:snapToGrid w:val="0"/>
              <w:rPr>
                <w:rFonts w:cs="微软雅黑" w:asciiTheme="minorEastAsia" w:hAnsiTheme="minorEastAsia"/>
                <w:szCs w:val="21"/>
              </w:rPr>
            </w:pPr>
          </w:p>
        </w:tc>
        <w:tc>
          <w:tcPr>
            <w:tcW w:w="3119" w:type="dxa"/>
            <w:tcMar>
              <w:left w:w="108" w:type="dxa"/>
              <w:right w:w="108" w:type="dxa"/>
            </w:tcMar>
            <w:vAlign w:val="center"/>
          </w:tcPr>
          <w:p>
            <w:pPr>
              <w:widowControl/>
              <w:snapToGrid w:val="0"/>
              <w:jc w:val="left"/>
              <w:rPr>
                <w:rFonts w:asciiTheme="minorEastAsia" w:hAnsiTheme="minorEastAsia"/>
                <w:szCs w:val="21"/>
              </w:rPr>
            </w:pPr>
            <w:r>
              <w:rPr>
                <w:rFonts w:cs="仿宋_GB2312" w:asciiTheme="minorEastAsia" w:hAnsiTheme="minorEastAsia"/>
                <w:kern w:val="0"/>
                <w:szCs w:val="21"/>
                <w:lang w:bidi="ar"/>
              </w:rPr>
              <w:t>放射性颗粒物</w:t>
            </w:r>
          </w:p>
        </w:tc>
        <w:tc>
          <w:tcPr>
            <w:tcW w:w="4036" w:type="dxa"/>
            <w:tcMar>
              <w:left w:w="108" w:type="dxa"/>
              <w:right w:w="108" w:type="dxa"/>
            </w:tcMar>
          </w:tcPr>
          <w:p>
            <w:pPr>
              <w:widowControl/>
              <w:snapToGrid w:val="0"/>
              <w:jc w:val="left"/>
              <w:rPr>
                <w:rFonts w:asciiTheme="minorEastAsia" w:hAnsiTheme="minorEastAsia"/>
                <w:szCs w:val="21"/>
              </w:rPr>
            </w:pPr>
            <w:r>
              <w:rPr>
                <w:rFonts w:cs="仿宋_GB2312" w:asciiTheme="minorEastAsia" w:hAnsiTheme="minorEastAsia"/>
                <w:kern w:val="0"/>
                <w:szCs w:val="21"/>
                <w:lang w:bidi="ar"/>
              </w:rPr>
              <w:t>过滤效率至少满足</w:t>
            </w:r>
            <w:r>
              <w:rPr>
                <w:rFonts w:hint="eastAsia" w:cs="微软雅黑" w:asciiTheme="minorEastAsia" w:hAnsiTheme="minorEastAsia"/>
                <w:kern w:val="0"/>
                <w:szCs w:val="21"/>
                <w:lang w:bidi="ar"/>
              </w:rPr>
              <w:t>GB2626 </w:t>
            </w:r>
            <w:r>
              <w:rPr>
                <w:rFonts w:cs="仿宋_GB2312" w:asciiTheme="minorEastAsia" w:hAnsiTheme="minorEastAsia"/>
                <w:kern w:val="0"/>
                <w:szCs w:val="21"/>
                <w:lang w:bidi="ar"/>
              </w:rPr>
              <w:t>规定的</w:t>
            </w:r>
            <w:r>
              <w:rPr>
                <w:rFonts w:hint="eastAsia" w:cs="微软雅黑" w:asciiTheme="minorEastAsia" w:hAnsiTheme="minorEastAsia"/>
                <w:kern w:val="0"/>
                <w:szCs w:val="21"/>
                <w:lang w:bidi="ar"/>
              </w:rPr>
              <w:t>KN100</w:t>
            </w:r>
            <w:r>
              <w:rPr>
                <w:rFonts w:cs="仿宋_GB2312" w:asciiTheme="minorEastAsia" w:hAnsiTheme="minorEastAsia"/>
                <w:kern w:val="0"/>
                <w:szCs w:val="21"/>
                <w:lang w:bidi="ar"/>
              </w:rPr>
              <w:t>级别的防颗粒物呼吸器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346" w:hRule="atLeast"/>
          <w:jc w:val="center"/>
        </w:trPr>
        <w:tc>
          <w:tcPr>
            <w:tcW w:w="1791" w:type="dxa"/>
            <w:vMerge w:val="continue"/>
            <w:tcMar>
              <w:left w:w="108" w:type="dxa"/>
              <w:right w:w="108" w:type="dxa"/>
            </w:tcMar>
            <w:vAlign w:val="center"/>
          </w:tcPr>
          <w:p>
            <w:pPr>
              <w:snapToGrid w:val="0"/>
              <w:rPr>
                <w:rFonts w:cs="微软雅黑" w:asciiTheme="minorEastAsia" w:hAnsiTheme="minorEastAsia"/>
                <w:szCs w:val="21"/>
              </w:rPr>
            </w:pPr>
          </w:p>
        </w:tc>
        <w:tc>
          <w:tcPr>
            <w:tcW w:w="3119" w:type="dxa"/>
            <w:tcMar>
              <w:left w:w="108" w:type="dxa"/>
              <w:right w:w="108" w:type="dxa"/>
            </w:tcMar>
            <w:vAlign w:val="center"/>
          </w:tcPr>
          <w:p>
            <w:pPr>
              <w:widowControl/>
              <w:snapToGrid w:val="0"/>
              <w:jc w:val="left"/>
              <w:rPr>
                <w:rFonts w:asciiTheme="minorEastAsia" w:hAnsiTheme="minorEastAsia"/>
                <w:szCs w:val="21"/>
              </w:rPr>
            </w:pPr>
            <w:r>
              <w:rPr>
                <w:rFonts w:cs="仿宋_GB2312" w:asciiTheme="minorEastAsia" w:hAnsiTheme="minorEastAsia"/>
                <w:kern w:val="0"/>
                <w:szCs w:val="21"/>
                <w:lang w:bidi="ar"/>
              </w:rPr>
              <w:t>致癌性油性颗粒物（如焦炉烟、沥青烟等）</w:t>
            </w:r>
          </w:p>
        </w:tc>
        <w:tc>
          <w:tcPr>
            <w:tcW w:w="4036" w:type="dxa"/>
            <w:tcMar>
              <w:left w:w="108" w:type="dxa"/>
              <w:right w:w="108" w:type="dxa"/>
            </w:tcMar>
          </w:tcPr>
          <w:p>
            <w:pPr>
              <w:widowControl/>
              <w:snapToGrid w:val="0"/>
              <w:jc w:val="left"/>
              <w:rPr>
                <w:rFonts w:asciiTheme="minorEastAsia" w:hAnsiTheme="minorEastAsia"/>
                <w:szCs w:val="21"/>
              </w:rPr>
            </w:pPr>
            <w:r>
              <w:rPr>
                <w:rFonts w:cs="仿宋_GB2312" w:asciiTheme="minorEastAsia" w:hAnsiTheme="minorEastAsia"/>
                <w:kern w:val="0"/>
                <w:szCs w:val="21"/>
                <w:lang w:bidi="ar"/>
              </w:rPr>
              <w:t>过滤效率至少满足</w:t>
            </w:r>
            <w:r>
              <w:rPr>
                <w:rFonts w:hint="eastAsia" w:cs="微软雅黑" w:asciiTheme="minorEastAsia" w:hAnsiTheme="minorEastAsia"/>
                <w:kern w:val="0"/>
                <w:szCs w:val="21"/>
                <w:lang w:bidi="ar"/>
              </w:rPr>
              <w:t>GB2626</w:t>
            </w:r>
            <w:r>
              <w:rPr>
                <w:rFonts w:cs="仿宋_GB2312" w:asciiTheme="minorEastAsia" w:hAnsiTheme="minorEastAsia"/>
                <w:kern w:val="0"/>
                <w:szCs w:val="21"/>
                <w:lang w:bidi="ar"/>
              </w:rPr>
              <w:t>规定的</w:t>
            </w:r>
            <w:r>
              <w:rPr>
                <w:rFonts w:hint="eastAsia" w:cs="微软雅黑" w:asciiTheme="minorEastAsia" w:hAnsiTheme="minorEastAsia"/>
                <w:kern w:val="0"/>
                <w:szCs w:val="21"/>
                <w:lang w:bidi="ar"/>
              </w:rPr>
              <w:t> KP95</w:t>
            </w:r>
            <w:r>
              <w:rPr>
                <w:rFonts w:cs="仿宋_GB2312" w:asciiTheme="minorEastAsia" w:hAnsiTheme="minorEastAsia"/>
                <w:kern w:val="0"/>
                <w:szCs w:val="21"/>
                <w:lang w:bidi="ar"/>
              </w:rPr>
              <w:t>级别的防颗粒物呼吸器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91" w:type="dxa"/>
            <w:vMerge w:val="restart"/>
            <w:tcMar>
              <w:left w:w="108" w:type="dxa"/>
              <w:right w:w="108" w:type="dxa"/>
            </w:tcMar>
            <w:vAlign w:val="center"/>
          </w:tcPr>
          <w:p>
            <w:pPr>
              <w:widowControl/>
              <w:snapToGrid w:val="0"/>
              <w:jc w:val="center"/>
              <w:rPr>
                <w:rFonts w:asciiTheme="minorEastAsia" w:hAnsiTheme="minorEastAsia"/>
                <w:szCs w:val="21"/>
              </w:rPr>
            </w:pPr>
            <w:r>
              <w:rPr>
                <w:rFonts w:cs="仿宋_GB2312" w:asciiTheme="minorEastAsia" w:hAnsiTheme="minorEastAsia"/>
                <w:kern w:val="0"/>
                <w:szCs w:val="21"/>
                <w:lang w:bidi="ar"/>
              </w:rPr>
              <w:t>化学物质</w:t>
            </w:r>
          </w:p>
        </w:tc>
        <w:tc>
          <w:tcPr>
            <w:tcW w:w="3119" w:type="dxa"/>
            <w:tcMar>
              <w:left w:w="108" w:type="dxa"/>
              <w:right w:w="108" w:type="dxa"/>
            </w:tcMar>
            <w:vAlign w:val="center"/>
          </w:tcPr>
          <w:p>
            <w:pPr>
              <w:widowControl/>
              <w:snapToGrid w:val="0"/>
              <w:jc w:val="left"/>
              <w:rPr>
                <w:rFonts w:asciiTheme="minorEastAsia" w:hAnsiTheme="minorEastAsia"/>
                <w:szCs w:val="21"/>
              </w:rPr>
            </w:pPr>
            <w:r>
              <w:rPr>
                <w:rFonts w:cs="仿宋_GB2312" w:asciiTheme="minorEastAsia" w:hAnsiTheme="minorEastAsia"/>
                <w:kern w:val="0"/>
                <w:szCs w:val="21"/>
                <w:lang w:bidi="ar"/>
              </w:rPr>
              <w:t>窒息气体</w:t>
            </w:r>
          </w:p>
        </w:tc>
        <w:tc>
          <w:tcPr>
            <w:tcW w:w="4036" w:type="dxa"/>
            <w:tcMar>
              <w:left w:w="108" w:type="dxa"/>
              <w:right w:w="108" w:type="dxa"/>
            </w:tcMar>
          </w:tcPr>
          <w:p>
            <w:pPr>
              <w:widowControl/>
              <w:snapToGrid w:val="0"/>
              <w:jc w:val="left"/>
              <w:rPr>
                <w:rFonts w:asciiTheme="minorEastAsia" w:hAnsiTheme="minorEastAsia"/>
                <w:szCs w:val="21"/>
              </w:rPr>
            </w:pPr>
            <w:r>
              <w:rPr>
                <w:rFonts w:cs="仿宋_GB2312" w:asciiTheme="minorEastAsia" w:hAnsiTheme="minorEastAsia"/>
                <w:kern w:val="0"/>
                <w:szCs w:val="21"/>
                <w:lang w:bidi="ar"/>
              </w:rPr>
              <w:t>隔绝式正压呼吸器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91" w:type="dxa"/>
            <w:vMerge w:val="continue"/>
            <w:tcMar>
              <w:left w:w="108" w:type="dxa"/>
              <w:right w:w="108" w:type="dxa"/>
            </w:tcMar>
            <w:vAlign w:val="center"/>
          </w:tcPr>
          <w:p>
            <w:pPr>
              <w:snapToGrid w:val="0"/>
              <w:rPr>
                <w:rFonts w:cs="微软雅黑" w:asciiTheme="minorEastAsia" w:hAnsiTheme="minorEastAsia"/>
                <w:szCs w:val="21"/>
              </w:rPr>
            </w:pPr>
          </w:p>
        </w:tc>
        <w:tc>
          <w:tcPr>
            <w:tcW w:w="3119" w:type="dxa"/>
            <w:tcMar>
              <w:left w:w="108" w:type="dxa"/>
              <w:right w:w="108" w:type="dxa"/>
            </w:tcMar>
            <w:vAlign w:val="center"/>
          </w:tcPr>
          <w:p>
            <w:pPr>
              <w:widowControl/>
              <w:snapToGrid w:val="0"/>
              <w:jc w:val="left"/>
              <w:rPr>
                <w:rFonts w:asciiTheme="minorEastAsia" w:hAnsiTheme="minorEastAsia"/>
                <w:szCs w:val="21"/>
              </w:rPr>
            </w:pPr>
            <w:r>
              <w:rPr>
                <w:rFonts w:cs="仿宋_GB2312" w:asciiTheme="minorEastAsia" w:hAnsiTheme="minorEastAsia"/>
                <w:kern w:val="0"/>
                <w:szCs w:val="21"/>
                <w:lang w:bidi="ar"/>
              </w:rPr>
              <w:t>无机气体、有机蒸气</w:t>
            </w:r>
          </w:p>
          <w:p>
            <w:pPr>
              <w:widowControl/>
              <w:snapToGrid w:val="0"/>
              <w:jc w:val="left"/>
              <w:rPr>
                <w:rFonts w:asciiTheme="minorEastAsia" w:hAnsiTheme="minorEastAsia"/>
                <w:szCs w:val="21"/>
              </w:rPr>
            </w:pPr>
            <w:r>
              <w:rPr>
                <w:rFonts w:hint="eastAsia" w:cs="微软雅黑" w:asciiTheme="minorEastAsia" w:hAnsiTheme="minorEastAsia"/>
                <w:kern w:val="0"/>
                <w:szCs w:val="21"/>
                <w:lang w:bidi="ar"/>
              </w:rPr>
              <w:t> </w:t>
            </w:r>
          </w:p>
        </w:tc>
        <w:tc>
          <w:tcPr>
            <w:tcW w:w="4036" w:type="dxa"/>
            <w:tcMar>
              <w:left w:w="108" w:type="dxa"/>
              <w:right w:w="108" w:type="dxa"/>
            </w:tcMar>
          </w:tcPr>
          <w:p>
            <w:pPr>
              <w:widowControl/>
              <w:snapToGrid w:val="0"/>
              <w:jc w:val="left"/>
              <w:rPr>
                <w:rFonts w:asciiTheme="minorEastAsia" w:hAnsiTheme="minorEastAsia"/>
                <w:szCs w:val="21"/>
              </w:rPr>
            </w:pPr>
            <w:r>
              <w:rPr>
                <w:rFonts w:cs="仿宋_GB2312" w:asciiTheme="minorEastAsia" w:hAnsiTheme="minorEastAsia"/>
                <w:kern w:val="0"/>
                <w:szCs w:val="21"/>
                <w:lang w:bidi="ar"/>
              </w:rPr>
              <w:t>防毒面具</w:t>
            </w:r>
          </w:p>
          <w:p>
            <w:pPr>
              <w:widowControl/>
              <w:snapToGrid w:val="0"/>
              <w:jc w:val="left"/>
              <w:rPr>
                <w:rFonts w:asciiTheme="minorEastAsia" w:hAnsiTheme="minorEastAsia"/>
                <w:b w:val="0"/>
                <w:bCs w:val="0"/>
                <w:szCs w:val="21"/>
              </w:rPr>
            </w:pPr>
            <w:r>
              <w:rPr>
                <w:rFonts w:cs="仿宋_GB2312" w:asciiTheme="minorEastAsia" w:hAnsiTheme="minorEastAsia"/>
                <w:b w:val="0"/>
                <w:bCs w:val="0"/>
                <w:kern w:val="0"/>
                <w:szCs w:val="21"/>
                <w:lang w:bidi="ar"/>
              </w:rPr>
              <w:t>面罩类型：</w:t>
            </w:r>
          </w:p>
          <w:p>
            <w:pPr>
              <w:widowControl/>
              <w:snapToGrid w:val="0"/>
              <w:jc w:val="left"/>
              <w:rPr>
                <w:rFonts w:asciiTheme="minorEastAsia" w:hAnsiTheme="minorEastAsia"/>
                <w:szCs w:val="21"/>
              </w:rPr>
            </w:pPr>
            <w:r>
              <w:rPr>
                <w:rFonts w:cs="仿宋_GB2312" w:asciiTheme="minorEastAsia" w:hAnsiTheme="minorEastAsia"/>
                <w:kern w:val="0"/>
                <w:szCs w:val="21"/>
                <w:lang w:bidi="ar"/>
              </w:rPr>
              <w:t>工作场所毒物浓度超标不大于</w:t>
            </w:r>
            <w:r>
              <w:rPr>
                <w:rFonts w:hint="eastAsia" w:cs="微软雅黑" w:asciiTheme="minorEastAsia" w:hAnsiTheme="minorEastAsia"/>
                <w:kern w:val="0"/>
                <w:szCs w:val="21"/>
                <w:lang w:bidi="ar"/>
              </w:rPr>
              <w:t>10</w:t>
            </w:r>
            <w:r>
              <w:rPr>
                <w:rFonts w:cs="仿宋_GB2312" w:asciiTheme="minorEastAsia" w:hAnsiTheme="minorEastAsia"/>
                <w:kern w:val="0"/>
                <w:szCs w:val="21"/>
                <w:lang w:bidi="ar"/>
              </w:rPr>
              <w:t>倍，使用送风或自吸过滤半面罩；工作场所毒物浓度超标不大于</w:t>
            </w:r>
            <w:r>
              <w:rPr>
                <w:rFonts w:hint="eastAsia" w:cs="微软雅黑" w:asciiTheme="minorEastAsia" w:hAnsiTheme="minorEastAsia"/>
                <w:kern w:val="0"/>
                <w:szCs w:val="21"/>
                <w:lang w:bidi="ar"/>
              </w:rPr>
              <w:t>100</w:t>
            </w:r>
            <w:r>
              <w:rPr>
                <w:rFonts w:cs="仿宋_GB2312" w:asciiTheme="minorEastAsia" w:hAnsiTheme="minorEastAsia"/>
                <w:kern w:val="0"/>
                <w:szCs w:val="21"/>
                <w:lang w:bidi="ar"/>
              </w:rPr>
              <w:t>倍，使用送风或自吸过滤全面罩；工作场所毒物浓度超标大于</w:t>
            </w:r>
            <w:r>
              <w:rPr>
                <w:rFonts w:hint="eastAsia" w:cs="微软雅黑" w:asciiTheme="minorEastAsia" w:hAnsiTheme="minorEastAsia"/>
                <w:kern w:val="0"/>
                <w:szCs w:val="21"/>
                <w:lang w:bidi="ar"/>
              </w:rPr>
              <w:t>100</w:t>
            </w:r>
            <w:r>
              <w:rPr>
                <w:rFonts w:cs="仿宋_GB2312" w:asciiTheme="minorEastAsia" w:hAnsiTheme="minorEastAsia"/>
                <w:kern w:val="0"/>
                <w:szCs w:val="21"/>
                <w:lang w:bidi="ar"/>
              </w:rPr>
              <w:t>倍，使用隔绝式或送风过滤式全面罩</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213" w:hRule="atLeast"/>
          <w:jc w:val="center"/>
        </w:trPr>
        <w:tc>
          <w:tcPr>
            <w:tcW w:w="1791" w:type="dxa"/>
            <w:vMerge w:val="continue"/>
            <w:tcMar>
              <w:left w:w="108" w:type="dxa"/>
              <w:right w:w="108" w:type="dxa"/>
            </w:tcMar>
            <w:vAlign w:val="center"/>
          </w:tcPr>
          <w:p>
            <w:pPr>
              <w:snapToGrid w:val="0"/>
              <w:rPr>
                <w:rFonts w:cs="微软雅黑" w:asciiTheme="minorEastAsia" w:hAnsiTheme="minorEastAsia"/>
                <w:szCs w:val="21"/>
              </w:rPr>
            </w:pPr>
          </w:p>
        </w:tc>
        <w:tc>
          <w:tcPr>
            <w:tcW w:w="3119" w:type="dxa"/>
            <w:tcMar>
              <w:left w:w="108" w:type="dxa"/>
              <w:right w:w="108" w:type="dxa"/>
            </w:tcMar>
            <w:vAlign w:val="center"/>
          </w:tcPr>
          <w:p>
            <w:pPr>
              <w:widowControl/>
              <w:snapToGrid w:val="0"/>
              <w:jc w:val="left"/>
              <w:rPr>
                <w:rFonts w:asciiTheme="minorEastAsia" w:hAnsiTheme="minorEastAsia"/>
                <w:szCs w:val="21"/>
              </w:rPr>
            </w:pPr>
            <w:r>
              <w:rPr>
                <w:rFonts w:cs="仿宋_GB2312" w:asciiTheme="minorEastAsia" w:hAnsiTheme="minorEastAsia"/>
                <w:kern w:val="0"/>
                <w:szCs w:val="21"/>
                <w:lang w:bidi="ar"/>
              </w:rPr>
              <w:t>酸、碱性溶液、蒸气</w:t>
            </w:r>
          </w:p>
        </w:tc>
        <w:tc>
          <w:tcPr>
            <w:tcW w:w="4036" w:type="dxa"/>
            <w:tcMar>
              <w:left w:w="108" w:type="dxa"/>
              <w:right w:w="108" w:type="dxa"/>
            </w:tcMar>
          </w:tcPr>
          <w:p>
            <w:pPr>
              <w:widowControl/>
              <w:snapToGrid w:val="0"/>
              <w:jc w:val="left"/>
              <w:rPr>
                <w:rFonts w:asciiTheme="minorEastAsia" w:hAnsiTheme="minorEastAsia"/>
                <w:szCs w:val="21"/>
              </w:rPr>
            </w:pPr>
            <w:r>
              <w:rPr>
                <w:rFonts w:cs="仿宋_GB2312" w:asciiTheme="minorEastAsia" w:hAnsiTheme="minorEastAsia"/>
                <w:kern w:val="0"/>
                <w:szCs w:val="21"/>
                <w:lang w:bidi="ar"/>
              </w:rPr>
              <w:t>防酸碱面罩、防酸碱手套、防酸碱服、防酸碱鞋</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91" w:type="dxa"/>
            <w:vMerge w:val="restart"/>
            <w:tcMar>
              <w:left w:w="108" w:type="dxa"/>
              <w:right w:w="108" w:type="dxa"/>
            </w:tcMar>
            <w:vAlign w:val="center"/>
          </w:tcPr>
          <w:p>
            <w:pPr>
              <w:widowControl/>
              <w:snapToGrid w:val="0"/>
              <w:jc w:val="center"/>
              <w:rPr>
                <w:rFonts w:asciiTheme="minorEastAsia" w:hAnsiTheme="minorEastAsia"/>
                <w:szCs w:val="21"/>
              </w:rPr>
            </w:pPr>
            <w:r>
              <w:rPr>
                <w:rFonts w:cs="仿宋_GB2312" w:asciiTheme="minorEastAsia" w:hAnsiTheme="minorEastAsia"/>
                <w:kern w:val="0"/>
                <w:szCs w:val="21"/>
                <w:lang w:bidi="ar"/>
              </w:rPr>
              <w:t>噪声</w:t>
            </w:r>
          </w:p>
        </w:tc>
        <w:tc>
          <w:tcPr>
            <w:tcW w:w="3119" w:type="dxa"/>
            <w:tcMar>
              <w:left w:w="108" w:type="dxa"/>
              <w:right w:w="108" w:type="dxa"/>
            </w:tcMar>
            <w:vAlign w:val="center"/>
          </w:tcPr>
          <w:p>
            <w:pPr>
              <w:widowControl/>
              <w:snapToGrid w:val="0"/>
              <w:jc w:val="left"/>
              <w:rPr>
                <w:rFonts w:asciiTheme="minorEastAsia" w:hAnsiTheme="minorEastAsia"/>
                <w:szCs w:val="21"/>
              </w:rPr>
            </w:pPr>
            <w:r>
              <w:rPr>
                <w:rFonts w:cs="仿宋_GB2312" w:asciiTheme="minorEastAsia" w:hAnsiTheme="minorEastAsia"/>
                <w:kern w:val="0"/>
                <w:szCs w:val="21"/>
                <w:lang w:bidi="ar"/>
              </w:rPr>
              <w:t>劳动者暴露于工作场所</w:t>
            </w:r>
          </w:p>
          <w:p>
            <w:pPr>
              <w:widowControl/>
              <w:snapToGrid w:val="0"/>
              <w:jc w:val="left"/>
              <w:rPr>
                <w:rFonts w:asciiTheme="minorEastAsia" w:hAnsiTheme="minorEastAsia"/>
                <w:szCs w:val="21"/>
              </w:rPr>
            </w:pPr>
            <w:r>
              <w:rPr>
                <w:rFonts w:hint="eastAsia" w:cs="微软雅黑" w:asciiTheme="minorEastAsia" w:hAnsiTheme="minorEastAsia"/>
                <w:kern w:val="0"/>
                <w:szCs w:val="21"/>
                <w:lang w:bidi="ar"/>
              </w:rPr>
              <w:t>80dB</w:t>
            </w:r>
            <w:r>
              <w:rPr>
                <w:rFonts w:cs="仿宋_GB2312" w:asciiTheme="minorEastAsia" w:hAnsiTheme="minorEastAsia"/>
                <w:kern w:val="0"/>
                <w:szCs w:val="21"/>
                <w:lang w:bidi="ar"/>
              </w:rPr>
              <w:t>≤</w:t>
            </w:r>
            <w:r>
              <w:rPr>
                <w:rFonts w:hint="eastAsia" w:cs="微软雅黑" w:asciiTheme="minorEastAsia" w:hAnsiTheme="minorEastAsia"/>
                <w:kern w:val="0"/>
                <w:szCs w:val="21"/>
                <w:lang w:bidi="ar"/>
              </w:rPr>
              <w:t>LEX,8h</w:t>
            </w:r>
            <w:r>
              <w:rPr>
                <w:rFonts w:cs="仿宋_GB2312" w:asciiTheme="minorEastAsia" w:hAnsiTheme="minorEastAsia"/>
                <w:kern w:val="0"/>
                <w:szCs w:val="21"/>
                <w:lang w:bidi="ar"/>
              </w:rPr>
              <w:t>＜</w:t>
            </w:r>
            <w:r>
              <w:rPr>
                <w:rFonts w:hint="eastAsia" w:cs="微软雅黑" w:asciiTheme="minorEastAsia" w:hAnsiTheme="minorEastAsia"/>
                <w:kern w:val="0"/>
                <w:szCs w:val="21"/>
                <w:lang w:bidi="ar"/>
              </w:rPr>
              <w:t>85 dB</w:t>
            </w:r>
            <w:r>
              <w:rPr>
                <w:rFonts w:cs="仿宋_GB2312" w:asciiTheme="minorEastAsia" w:hAnsiTheme="minorEastAsia"/>
                <w:kern w:val="0"/>
                <w:szCs w:val="21"/>
                <w:lang w:bidi="ar"/>
              </w:rPr>
              <w:t>的</w:t>
            </w:r>
          </w:p>
        </w:tc>
        <w:tc>
          <w:tcPr>
            <w:tcW w:w="4036" w:type="dxa"/>
            <w:tcMar>
              <w:left w:w="108" w:type="dxa"/>
              <w:right w:w="108" w:type="dxa"/>
            </w:tcMar>
          </w:tcPr>
          <w:p>
            <w:pPr>
              <w:widowControl/>
              <w:snapToGrid w:val="0"/>
              <w:jc w:val="left"/>
              <w:rPr>
                <w:rFonts w:asciiTheme="minorEastAsia" w:hAnsiTheme="minorEastAsia"/>
                <w:szCs w:val="21"/>
              </w:rPr>
            </w:pPr>
            <w:r>
              <w:rPr>
                <w:rFonts w:cs="仿宋_GB2312" w:asciiTheme="minorEastAsia" w:hAnsiTheme="minorEastAsia"/>
                <w:kern w:val="0"/>
                <w:szCs w:val="21"/>
                <w:lang w:bidi="ar"/>
              </w:rPr>
              <w:t>用人单位应根据劳动者需求为其配备适用的护听器</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jc w:val="center"/>
        </w:trPr>
        <w:tc>
          <w:tcPr>
            <w:tcW w:w="1791" w:type="dxa"/>
            <w:vMerge w:val="continue"/>
            <w:tcMar>
              <w:left w:w="108" w:type="dxa"/>
              <w:right w:w="108" w:type="dxa"/>
            </w:tcMar>
            <w:vAlign w:val="center"/>
          </w:tcPr>
          <w:p>
            <w:pPr>
              <w:snapToGrid w:val="0"/>
              <w:rPr>
                <w:rFonts w:cs="微软雅黑" w:asciiTheme="minorEastAsia" w:hAnsiTheme="minorEastAsia"/>
                <w:szCs w:val="21"/>
              </w:rPr>
            </w:pPr>
          </w:p>
        </w:tc>
        <w:tc>
          <w:tcPr>
            <w:tcW w:w="3119" w:type="dxa"/>
            <w:tcMar>
              <w:left w:w="108" w:type="dxa"/>
              <w:right w:w="108" w:type="dxa"/>
            </w:tcMar>
            <w:vAlign w:val="center"/>
          </w:tcPr>
          <w:p>
            <w:pPr>
              <w:widowControl/>
              <w:snapToGrid w:val="0"/>
              <w:jc w:val="left"/>
              <w:rPr>
                <w:rFonts w:asciiTheme="minorEastAsia" w:hAnsiTheme="minorEastAsia"/>
                <w:szCs w:val="21"/>
              </w:rPr>
            </w:pPr>
            <w:r>
              <w:rPr>
                <w:rFonts w:cs="仿宋_GB2312" w:asciiTheme="minorEastAsia" w:hAnsiTheme="minorEastAsia"/>
                <w:kern w:val="0"/>
                <w:szCs w:val="21"/>
                <w:lang w:bidi="ar"/>
              </w:rPr>
              <w:t>劳动者暴露于工作场所</w:t>
            </w:r>
          </w:p>
          <w:p>
            <w:pPr>
              <w:widowControl/>
              <w:snapToGrid w:val="0"/>
              <w:jc w:val="left"/>
              <w:rPr>
                <w:rFonts w:asciiTheme="minorEastAsia" w:hAnsiTheme="minorEastAsia"/>
                <w:szCs w:val="21"/>
              </w:rPr>
            </w:pPr>
            <w:r>
              <w:rPr>
                <w:rFonts w:hint="eastAsia" w:cs="微软雅黑" w:asciiTheme="minorEastAsia" w:hAnsiTheme="minorEastAsia"/>
                <w:kern w:val="0"/>
                <w:szCs w:val="21"/>
                <w:lang w:bidi="ar"/>
              </w:rPr>
              <w:t>LEX,8h</w:t>
            </w:r>
            <w:r>
              <w:rPr>
                <w:rFonts w:cs="仿宋_GB2312" w:asciiTheme="minorEastAsia" w:hAnsiTheme="minorEastAsia"/>
                <w:kern w:val="0"/>
                <w:szCs w:val="21"/>
                <w:lang w:bidi="ar"/>
              </w:rPr>
              <w:t>≥</w:t>
            </w:r>
            <w:r>
              <w:rPr>
                <w:rFonts w:hint="eastAsia" w:cs="微软雅黑" w:asciiTheme="minorEastAsia" w:hAnsiTheme="minorEastAsia"/>
                <w:kern w:val="0"/>
                <w:szCs w:val="21"/>
                <w:lang w:bidi="ar"/>
              </w:rPr>
              <w:t>85dB</w:t>
            </w:r>
            <w:r>
              <w:rPr>
                <w:rFonts w:cs="仿宋_GB2312" w:asciiTheme="minorEastAsia" w:hAnsiTheme="minorEastAsia"/>
                <w:kern w:val="0"/>
                <w:szCs w:val="21"/>
                <w:lang w:bidi="ar"/>
              </w:rPr>
              <w:t>的</w:t>
            </w:r>
          </w:p>
        </w:tc>
        <w:tc>
          <w:tcPr>
            <w:tcW w:w="4036" w:type="dxa"/>
            <w:tcMar>
              <w:left w:w="108" w:type="dxa"/>
              <w:right w:w="108" w:type="dxa"/>
            </w:tcMar>
          </w:tcPr>
          <w:p>
            <w:pPr>
              <w:widowControl/>
              <w:snapToGrid w:val="0"/>
              <w:jc w:val="left"/>
              <w:rPr>
                <w:rFonts w:asciiTheme="minorEastAsia" w:hAnsiTheme="minorEastAsia"/>
                <w:szCs w:val="21"/>
              </w:rPr>
            </w:pPr>
            <w:r>
              <w:rPr>
                <w:rFonts w:cs="仿宋_GB2312" w:asciiTheme="minorEastAsia" w:hAnsiTheme="minorEastAsia"/>
                <w:kern w:val="0"/>
                <w:szCs w:val="21"/>
                <w:lang w:bidi="ar"/>
              </w:rPr>
              <w:t>用人单位应为劳动者配备适用的护听器，并指导劳动者正确佩戴和使用。劳动者暴露于工作场所</w:t>
            </w:r>
            <w:r>
              <w:rPr>
                <w:rFonts w:hint="eastAsia" w:cs="微软雅黑" w:asciiTheme="minorEastAsia" w:hAnsiTheme="minorEastAsia"/>
                <w:kern w:val="0"/>
                <w:szCs w:val="21"/>
                <w:lang w:bidi="ar"/>
              </w:rPr>
              <w:t>LEX,8h</w:t>
            </w:r>
            <w:r>
              <w:rPr>
                <w:rFonts w:cs="仿宋_GB2312" w:asciiTheme="minorEastAsia" w:hAnsiTheme="minorEastAsia"/>
                <w:kern w:val="0"/>
                <w:szCs w:val="21"/>
                <w:lang w:bidi="ar"/>
              </w:rPr>
              <w:t>为</w:t>
            </w:r>
            <w:r>
              <w:rPr>
                <w:rFonts w:hint="eastAsia" w:cs="微软雅黑" w:asciiTheme="minorEastAsia" w:hAnsiTheme="minorEastAsia"/>
                <w:kern w:val="0"/>
                <w:szCs w:val="21"/>
                <w:lang w:bidi="ar"/>
              </w:rPr>
              <w:t>85</w:t>
            </w:r>
            <w:r>
              <w:rPr>
                <w:rFonts w:cs="仿宋_GB2312" w:asciiTheme="minorEastAsia" w:hAnsiTheme="minorEastAsia"/>
                <w:kern w:val="0"/>
                <w:szCs w:val="21"/>
                <w:lang w:bidi="ar"/>
              </w:rPr>
              <w:t>～</w:t>
            </w:r>
            <w:r>
              <w:rPr>
                <w:rFonts w:hint="eastAsia" w:cs="微软雅黑" w:asciiTheme="minorEastAsia" w:hAnsiTheme="minorEastAsia"/>
                <w:kern w:val="0"/>
                <w:szCs w:val="21"/>
                <w:lang w:bidi="ar"/>
              </w:rPr>
              <w:t>95dB</w:t>
            </w:r>
            <w:r>
              <w:rPr>
                <w:rFonts w:cs="仿宋_GB2312" w:asciiTheme="minorEastAsia" w:hAnsiTheme="minorEastAsia"/>
                <w:kern w:val="0"/>
                <w:szCs w:val="21"/>
                <w:lang w:bidi="ar"/>
              </w:rPr>
              <w:t>的应选用护听器</w:t>
            </w:r>
            <w:r>
              <w:rPr>
                <w:rFonts w:hint="eastAsia" w:cs="微软雅黑" w:asciiTheme="minorEastAsia" w:hAnsiTheme="minorEastAsia"/>
                <w:kern w:val="0"/>
                <w:szCs w:val="21"/>
                <w:lang w:bidi="ar"/>
              </w:rPr>
              <w:t>SNR</w:t>
            </w:r>
            <w:r>
              <w:rPr>
                <w:rFonts w:cs="仿宋_GB2312" w:asciiTheme="minorEastAsia" w:hAnsiTheme="minorEastAsia"/>
                <w:kern w:val="0"/>
                <w:szCs w:val="21"/>
                <w:lang w:bidi="ar"/>
              </w:rPr>
              <w:t>为</w:t>
            </w:r>
            <w:r>
              <w:rPr>
                <w:rFonts w:hint="eastAsia" w:cs="微软雅黑" w:asciiTheme="minorEastAsia" w:hAnsiTheme="minorEastAsia"/>
                <w:kern w:val="0"/>
                <w:szCs w:val="21"/>
                <w:lang w:bidi="ar"/>
              </w:rPr>
              <w:t>17</w:t>
            </w:r>
            <w:r>
              <w:rPr>
                <w:rFonts w:cs="仿宋_GB2312" w:asciiTheme="minorEastAsia" w:hAnsiTheme="minorEastAsia"/>
                <w:kern w:val="0"/>
                <w:szCs w:val="21"/>
                <w:lang w:bidi="ar"/>
              </w:rPr>
              <w:t>～</w:t>
            </w:r>
            <w:r>
              <w:rPr>
                <w:rFonts w:hint="eastAsia" w:cs="微软雅黑" w:asciiTheme="minorEastAsia" w:hAnsiTheme="minorEastAsia"/>
                <w:kern w:val="0"/>
                <w:szCs w:val="21"/>
                <w:lang w:bidi="ar"/>
              </w:rPr>
              <w:t>34dB</w:t>
            </w:r>
            <w:r>
              <w:rPr>
                <w:rFonts w:cs="仿宋_GB2312" w:asciiTheme="minorEastAsia" w:hAnsiTheme="minorEastAsia"/>
                <w:kern w:val="0"/>
                <w:szCs w:val="21"/>
                <w:lang w:bidi="ar"/>
              </w:rPr>
              <w:t>的耳塞或耳罩；劳动者暴露于工作场所</w:t>
            </w:r>
            <w:r>
              <w:rPr>
                <w:rFonts w:hint="eastAsia" w:cs="微软雅黑" w:asciiTheme="minorEastAsia" w:hAnsiTheme="minorEastAsia"/>
                <w:kern w:val="0"/>
                <w:szCs w:val="21"/>
                <w:lang w:bidi="ar"/>
              </w:rPr>
              <w:t>LEX,8h</w:t>
            </w:r>
            <w:r>
              <w:rPr>
                <w:rFonts w:cs="仿宋_GB2312" w:asciiTheme="minorEastAsia" w:hAnsiTheme="minorEastAsia"/>
                <w:kern w:val="0"/>
                <w:szCs w:val="21"/>
                <w:lang w:bidi="ar"/>
              </w:rPr>
              <w:t>≥</w:t>
            </w:r>
            <w:r>
              <w:rPr>
                <w:rFonts w:hint="eastAsia" w:cs="微软雅黑" w:asciiTheme="minorEastAsia" w:hAnsiTheme="minorEastAsia"/>
                <w:kern w:val="0"/>
                <w:szCs w:val="21"/>
                <w:lang w:bidi="ar"/>
              </w:rPr>
              <w:t>95dB</w:t>
            </w:r>
            <w:r>
              <w:rPr>
                <w:rFonts w:cs="仿宋_GB2312" w:asciiTheme="minorEastAsia" w:hAnsiTheme="minorEastAsia"/>
                <w:kern w:val="0"/>
                <w:szCs w:val="21"/>
                <w:lang w:bidi="ar"/>
              </w:rPr>
              <w:t>的应选用护听器</w:t>
            </w:r>
            <w:r>
              <w:rPr>
                <w:rFonts w:hint="eastAsia" w:cs="微软雅黑" w:asciiTheme="minorEastAsia" w:hAnsiTheme="minorEastAsia"/>
                <w:kern w:val="0"/>
                <w:szCs w:val="21"/>
                <w:lang w:bidi="ar"/>
              </w:rPr>
              <w:t>SNR</w:t>
            </w:r>
            <w:r>
              <w:rPr>
                <w:rFonts w:cs="仿宋_GB2312" w:asciiTheme="minorEastAsia" w:hAnsiTheme="minorEastAsia"/>
                <w:kern w:val="0"/>
                <w:szCs w:val="21"/>
                <w:lang w:bidi="ar"/>
              </w:rPr>
              <w:t>≥</w:t>
            </w:r>
            <w:r>
              <w:rPr>
                <w:rFonts w:hint="eastAsia" w:cs="微软雅黑" w:asciiTheme="minorEastAsia" w:hAnsiTheme="minorEastAsia"/>
                <w:kern w:val="0"/>
                <w:szCs w:val="21"/>
                <w:lang w:bidi="ar"/>
              </w:rPr>
              <w:t>34dB</w:t>
            </w:r>
            <w:r>
              <w:rPr>
                <w:rFonts w:cs="仿宋_GB2312" w:asciiTheme="minorEastAsia" w:hAnsiTheme="minorEastAsia"/>
                <w:kern w:val="0"/>
                <w:szCs w:val="21"/>
                <w:lang w:bidi="ar"/>
              </w:rPr>
              <w:t>的耳塞、耳罩或者同时佩戴耳塞和耳罩，耳塞和耳罩组合使用时的声衰减值，可按二者中较高的声衰减值增加</w:t>
            </w:r>
            <w:r>
              <w:rPr>
                <w:rFonts w:hint="eastAsia" w:cs="微软雅黑" w:asciiTheme="minorEastAsia" w:hAnsiTheme="minorEastAsia"/>
                <w:kern w:val="0"/>
                <w:szCs w:val="21"/>
                <w:lang w:bidi="ar"/>
              </w:rPr>
              <w:t>5dB</w:t>
            </w:r>
            <w:r>
              <w:rPr>
                <w:rFonts w:cs="仿宋_GB2312" w:asciiTheme="minorEastAsia" w:hAnsiTheme="minorEastAsia"/>
                <w:kern w:val="0"/>
                <w:szCs w:val="21"/>
                <w:lang w:bidi="ar"/>
              </w:rPr>
              <w:t>估算</w:t>
            </w:r>
          </w:p>
        </w:tc>
      </w:tr>
    </w:tbl>
    <w:p>
      <w:pPr>
        <w:widowControl/>
        <w:spacing w:line="450" w:lineRule="atLeast"/>
        <w:jc w:val="left"/>
        <w:rPr>
          <w:rFonts w:cs="宋体"/>
          <w:color w:val="000000"/>
          <w:sz w:val="24"/>
        </w:rPr>
      </w:pPr>
      <w:r>
        <w:rPr>
          <w:rStyle w:val="24"/>
          <w:rFonts w:hint="eastAsia" w:cs="宋体"/>
          <w:b w:val="0"/>
          <w:color w:val="000000"/>
          <w:kern w:val="0"/>
          <w:sz w:val="32"/>
          <w:szCs w:val="32"/>
          <w:lang w:bidi="ar"/>
        </w:rPr>
        <w:t> </w:t>
      </w:r>
    </w:p>
    <w:p>
      <w:pPr>
        <w:widowControl/>
        <w:spacing w:line="450" w:lineRule="atLeast"/>
        <w:jc w:val="center"/>
        <w:rPr>
          <w:rFonts w:hint="eastAsia" w:cs="宋体"/>
          <w:b/>
          <w:bCs/>
          <w:color w:val="000000"/>
          <w:kern w:val="0"/>
          <w:sz w:val="36"/>
          <w:szCs w:val="36"/>
          <w:lang w:bidi="ar"/>
        </w:rPr>
      </w:pPr>
    </w:p>
    <w:p>
      <w:pPr>
        <w:widowControl/>
        <w:spacing w:line="450" w:lineRule="atLeast"/>
        <w:jc w:val="center"/>
        <w:rPr>
          <w:rFonts w:hint="eastAsia" w:cs="宋体"/>
          <w:b/>
          <w:bCs/>
          <w:color w:val="000000"/>
          <w:kern w:val="0"/>
          <w:sz w:val="36"/>
          <w:szCs w:val="36"/>
          <w:lang w:bidi="ar"/>
        </w:rPr>
      </w:pPr>
    </w:p>
    <w:p>
      <w:pPr>
        <w:widowControl/>
        <w:spacing w:line="450" w:lineRule="atLeast"/>
        <w:jc w:val="center"/>
        <w:rPr>
          <w:rFonts w:cs="宋体"/>
          <w:color w:val="000000"/>
          <w:sz w:val="24"/>
        </w:rPr>
      </w:pPr>
      <w:r>
        <w:rPr>
          <w:rFonts w:hint="eastAsia" w:cs="宋体"/>
          <w:b/>
          <w:bCs/>
          <w:color w:val="000000"/>
          <w:kern w:val="0"/>
          <w:sz w:val="36"/>
          <w:szCs w:val="36"/>
          <w:lang w:bidi="ar"/>
        </w:rPr>
        <w:t> </w:t>
      </w:r>
    </w:p>
    <w:p>
      <w:pPr>
        <w:pageBreakBefore w:val="0"/>
        <w:widowControl/>
        <w:spacing w:line="450" w:lineRule="atLeast"/>
        <w:jc w:val="left"/>
        <w:outlineLvl w:val="9"/>
        <w:rPr>
          <w:rFonts w:eastAsia="方正仿宋_GBK"/>
          <w:b/>
          <w:color w:val="000000"/>
          <w:sz w:val="24"/>
        </w:rPr>
      </w:pPr>
      <w:r>
        <w:rPr>
          <w:rFonts w:eastAsia="黑体" w:cs="黑体"/>
          <w:color w:val="000000"/>
          <w:kern w:val="0"/>
          <w:sz w:val="32"/>
          <w:szCs w:val="32"/>
          <w:lang w:bidi="ar"/>
        </w:rPr>
        <w:t>   </w:t>
      </w:r>
      <w:bookmarkStart w:id="86" w:name="_Toc94050280"/>
      <w:bookmarkStart w:id="87" w:name="_Toc101823027"/>
      <w:r>
        <w:rPr>
          <w:rFonts w:ascii="Times New Roman" w:hAnsi="Times New Roman"/>
          <w:b/>
          <w:bCs/>
          <w:kern w:val="0"/>
          <w:sz w:val="28"/>
          <w:szCs w:val="28"/>
        </w:rPr>
        <w:t xml:space="preserve">附录E </w:t>
      </w:r>
      <w:r>
        <w:rPr>
          <w:rFonts w:hint="eastAsia" w:ascii="Times New Roman" w:hAnsi="Times New Roman"/>
          <w:b/>
          <w:bCs/>
          <w:kern w:val="0"/>
          <w:sz w:val="28"/>
          <w:szCs w:val="28"/>
        </w:rPr>
        <w:t>建筑施工现场常见高毒物品目录中确定人类致癌物质</w:t>
      </w:r>
      <w:bookmarkEnd w:id="86"/>
      <w:bookmarkEnd w:id="87"/>
    </w:p>
    <w:tbl>
      <w:tblPr>
        <w:tblStyle w:val="21"/>
        <w:tblW w:w="0" w:type="auto"/>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autofit"/>
        <w:tblCellMar>
          <w:top w:w="0" w:type="dxa"/>
          <w:left w:w="0" w:type="dxa"/>
          <w:bottom w:w="0" w:type="dxa"/>
          <w:right w:w="0" w:type="dxa"/>
        </w:tblCellMar>
      </w:tblPr>
      <w:tblGrid>
        <w:gridCol w:w="2416"/>
        <w:gridCol w:w="3013"/>
        <w:gridCol w:w="1177"/>
        <w:gridCol w:w="144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50" w:hRule="atLeast"/>
          <w:tblHeader/>
          <w:jc w:val="center"/>
        </w:trPr>
        <w:tc>
          <w:tcPr>
            <w:tcW w:w="2416" w:type="dxa"/>
            <w:tcMar>
              <w:top w:w="15" w:type="dxa"/>
              <w:left w:w="15" w:type="dxa"/>
              <w:bottom w:w="15" w:type="dxa"/>
              <w:right w:w="15" w:type="dxa"/>
            </w:tcMar>
            <w:vAlign w:val="center"/>
          </w:tcPr>
          <w:p>
            <w:pPr>
              <w:widowControl/>
              <w:snapToGrid w:val="0"/>
              <w:jc w:val="center"/>
              <w:textAlignment w:val="center"/>
              <w:rPr>
                <w:rFonts w:ascii="Times New Roman" w:hAnsi="Times New Roman"/>
                <w:szCs w:val="21"/>
              </w:rPr>
            </w:pPr>
            <w:r>
              <w:rPr>
                <w:rFonts w:ascii="Times New Roman" w:hAnsi="Times New Roman" w:cs="仿宋_GB2312"/>
                <w:color w:val="000000"/>
                <w:kern w:val="0"/>
                <w:szCs w:val="21"/>
                <w:lang w:bidi="ar"/>
              </w:rPr>
              <w:t>毒物名称</w:t>
            </w:r>
          </w:p>
        </w:tc>
        <w:tc>
          <w:tcPr>
            <w:tcW w:w="3013" w:type="dxa"/>
            <w:tcMar>
              <w:top w:w="15" w:type="dxa"/>
              <w:left w:w="15" w:type="dxa"/>
              <w:bottom w:w="15" w:type="dxa"/>
              <w:right w:w="15" w:type="dxa"/>
            </w:tcMar>
            <w:vAlign w:val="center"/>
          </w:tcPr>
          <w:p>
            <w:pPr>
              <w:widowControl/>
              <w:snapToGrid w:val="0"/>
              <w:jc w:val="center"/>
              <w:textAlignment w:val="center"/>
              <w:rPr>
                <w:rFonts w:ascii="Times New Roman" w:hAnsi="Times New Roman"/>
                <w:szCs w:val="21"/>
              </w:rPr>
            </w:pPr>
            <w:r>
              <w:rPr>
                <w:rFonts w:ascii="Times New Roman" w:hAnsi="Times New Roman" w:cs="仿宋_GB2312"/>
                <w:color w:val="000000"/>
                <w:kern w:val="0"/>
                <w:szCs w:val="21"/>
                <w:lang w:bidi="ar"/>
              </w:rPr>
              <w:t>英文名称</w:t>
            </w:r>
          </w:p>
        </w:tc>
        <w:tc>
          <w:tcPr>
            <w:tcW w:w="1177" w:type="dxa"/>
            <w:tcMar>
              <w:top w:w="15" w:type="dxa"/>
              <w:left w:w="15" w:type="dxa"/>
              <w:bottom w:w="15" w:type="dxa"/>
              <w:right w:w="15" w:type="dxa"/>
            </w:tcMar>
            <w:vAlign w:val="center"/>
          </w:tcPr>
          <w:p>
            <w:pPr>
              <w:widowControl/>
              <w:snapToGrid w:val="0"/>
              <w:jc w:val="center"/>
              <w:textAlignment w:val="center"/>
              <w:rPr>
                <w:rFonts w:ascii="Times New Roman" w:hAnsi="Times New Roman"/>
                <w:szCs w:val="21"/>
              </w:rPr>
            </w:pPr>
            <w:r>
              <w:rPr>
                <w:rFonts w:hint="eastAsia" w:ascii="Times New Roman" w:hAnsi="Times New Roman" w:cs="微软雅黑"/>
                <w:color w:val="000000"/>
                <w:kern w:val="0"/>
                <w:szCs w:val="21"/>
                <w:lang w:bidi="ar"/>
              </w:rPr>
              <w:t>MAC (mg/m</w:t>
            </w:r>
            <w:r>
              <w:rPr>
                <w:rFonts w:hint="eastAsia" w:ascii="Times New Roman" w:hAnsi="Times New Roman" w:cs="微软雅黑"/>
                <w:color w:val="000000"/>
                <w:kern w:val="0"/>
                <w:szCs w:val="21"/>
                <w:vertAlign w:val="superscript"/>
                <w:lang w:bidi="ar"/>
              </w:rPr>
              <w:t>3</w:t>
            </w:r>
            <w:r>
              <w:rPr>
                <w:rFonts w:hint="eastAsia" w:ascii="Times New Roman" w:hAnsi="Times New Roman" w:cs="微软雅黑"/>
                <w:color w:val="000000"/>
                <w:kern w:val="0"/>
                <w:szCs w:val="21"/>
                <w:lang w:bidi="ar"/>
              </w:rPr>
              <w:t>)</w:t>
            </w:r>
          </w:p>
        </w:tc>
        <w:tc>
          <w:tcPr>
            <w:tcW w:w="1441" w:type="dxa"/>
            <w:tcMar>
              <w:top w:w="15" w:type="dxa"/>
              <w:left w:w="15" w:type="dxa"/>
              <w:bottom w:w="15" w:type="dxa"/>
              <w:right w:w="15" w:type="dxa"/>
            </w:tcMar>
            <w:vAlign w:val="center"/>
          </w:tcPr>
          <w:p>
            <w:pPr>
              <w:widowControl/>
              <w:snapToGrid w:val="0"/>
              <w:jc w:val="center"/>
              <w:textAlignment w:val="center"/>
              <w:rPr>
                <w:rFonts w:ascii="Times New Roman" w:hAnsi="Times New Roman"/>
                <w:szCs w:val="21"/>
              </w:rPr>
            </w:pPr>
            <w:r>
              <w:rPr>
                <w:rFonts w:hint="eastAsia" w:ascii="Times New Roman" w:hAnsi="Times New Roman" w:cs="微软雅黑"/>
                <w:color w:val="000000"/>
                <w:kern w:val="0"/>
                <w:szCs w:val="21"/>
                <w:lang w:bidi="ar"/>
              </w:rPr>
              <w:t>PC-TWA (mg/m</w:t>
            </w:r>
            <w:r>
              <w:rPr>
                <w:rFonts w:hint="eastAsia" w:ascii="Times New Roman" w:hAnsi="Times New Roman" w:cs="微软雅黑"/>
                <w:color w:val="000000"/>
                <w:kern w:val="0"/>
                <w:szCs w:val="21"/>
                <w:vertAlign w:val="superscript"/>
                <w:lang w:bidi="ar"/>
              </w:rPr>
              <w:t>3</w:t>
            </w:r>
            <w:r>
              <w:rPr>
                <w:rFonts w:hint="eastAsia" w:ascii="Times New Roman" w:hAnsi="Times New Roman" w:cs="微软雅黑"/>
                <w:color w:val="000000"/>
                <w:kern w:val="0"/>
                <w:szCs w:val="21"/>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416" w:type="dxa"/>
            <w:tcMar>
              <w:top w:w="15" w:type="dxa"/>
              <w:left w:w="15" w:type="dxa"/>
              <w:bottom w:w="15" w:type="dxa"/>
              <w:right w:w="15" w:type="dxa"/>
            </w:tcMar>
            <w:vAlign w:val="center"/>
          </w:tcPr>
          <w:p>
            <w:pPr>
              <w:widowControl/>
              <w:snapToGrid w:val="0"/>
              <w:jc w:val="center"/>
              <w:rPr>
                <w:rFonts w:ascii="Times New Roman" w:hAnsi="Times New Roman"/>
                <w:szCs w:val="21"/>
              </w:rPr>
            </w:pPr>
            <w:r>
              <w:rPr>
                <w:rFonts w:ascii="Times New Roman" w:hAnsi="Times New Roman" w:cs="仿宋_GB2312"/>
                <w:kern w:val="0"/>
                <w:szCs w:val="21"/>
                <w:lang w:bidi="ar"/>
              </w:rPr>
              <w:t>苯</w:t>
            </w:r>
          </w:p>
        </w:tc>
        <w:tc>
          <w:tcPr>
            <w:tcW w:w="3013" w:type="dxa"/>
            <w:tcMar>
              <w:top w:w="15" w:type="dxa"/>
              <w:left w:w="15" w:type="dxa"/>
              <w:bottom w:w="15" w:type="dxa"/>
              <w:right w:w="15" w:type="dxa"/>
            </w:tcMar>
            <w:vAlign w:val="center"/>
          </w:tcPr>
          <w:p>
            <w:pPr>
              <w:widowControl/>
              <w:snapToGrid w:val="0"/>
              <w:jc w:val="center"/>
              <w:rPr>
                <w:rFonts w:ascii="Times New Roman" w:hAnsi="Times New Roman"/>
                <w:szCs w:val="21"/>
              </w:rPr>
            </w:pPr>
            <w:r>
              <w:rPr>
                <w:rFonts w:hint="eastAsia" w:ascii="Times New Roman" w:hAnsi="Times New Roman" w:cs="微软雅黑"/>
                <w:kern w:val="0"/>
                <w:szCs w:val="21"/>
                <w:lang w:bidi="ar"/>
              </w:rPr>
              <w:t>benzene</w:t>
            </w:r>
          </w:p>
        </w:tc>
        <w:tc>
          <w:tcPr>
            <w:tcW w:w="1177" w:type="dxa"/>
            <w:tcMar>
              <w:top w:w="15" w:type="dxa"/>
              <w:left w:w="15" w:type="dxa"/>
              <w:bottom w:w="15" w:type="dxa"/>
              <w:right w:w="15" w:type="dxa"/>
            </w:tcMar>
            <w:vAlign w:val="center"/>
          </w:tcPr>
          <w:p>
            <w:pPr>
              <w:widowControl/>
              <w:snapToGrid w:val="0"/>
              <w:jc w:val="center"/>
              <w:rPr>
                <w:rFonts w:ascii="Times New Roman" w:hAnsi="Times New Roman"/>
                <w:szCs w:val="21"/>
              </w:rPr>
            </w:pPr>
            <w:r>
              <w:rPr>
                <w:rFonts w:hint="eastAsia" w:ascii="Times New Roman" w:hAnsi="Times New Roman" w:cs="微软雅黑"/>
                <w:kern w:val="0"/>
                <w:szCs w:val="21"/>
                <w:lang w:bidi="ar"/>
              </w:rPr>
              <w:t>-</w:t>
            </w:r>
          </w:p>
        </w:tc>
        <w:tc>
          <w:tcPr>
            <w:tcW w:w="1441" w:type="dxa"/>
            <w:tcMar>
              <w:top w:w="15" w:type="dxa"/>
              <w:left w:w="15" w:type="dxa"/>
              <w:bottom w:w="15" w:type="dxa"/>
              <w:right w:w="15" w:type="dxa"/>
            </w:tcMar>
            <w:vAlign w:val="center"/>
          </w:tcPr>
          <w:p>
            <w:pPr>
              <w:widowControl/>
              <w:snapToGrid w:val="0"/>
              <w:ind w:right="-135" w:hanging="113"/>
              <w:jc w:val="center"/>
              <w:rPr>
                <w:rFonts w:ascii="Times New Roman" w:hAnsi="Times New Roman"/>
                <w:szCs w:val="21"/>
              </w:rPr>
            </w:pPr>
            <w:r>
              <w:rPr>
                <w:rFonts w:hint="eastAsia" w:ascii="Times New Roman" w:hAnsi="Times New Roman" w:cs="微软雅黑"/>
                <w:kern w:val="0"/>
                <w:szCs w:val="21"/>
                <w:lang w:bidi="ar"/>
              </w:rPr>
              <w:t>6</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416" w:type="dxa"/>
            <w:tcMar>
              <w:top w:w="15" w:type="dxa"/>
              <w:left w:w="15" w:type="dxa"/>
              <w:bottom w:w="15" w:type="dxa"/>
              <w:right w:w="15" w:type="dxa"/>
            </w:tcMar>
            <w:vAlign w:val="center"/>
          </w:tcPr>
          <w:p>
            <w:pPr>
              <w:widowControl/>
              <w:snapToGrid w:val="0"/>
              <w:ind w:left="28"/>
              <w:jc w:val="center"/>
              <w:rPr>
                <w:rFonts w:ascii="Times New Roman" w:hAnsi="Times New Roman"/>
                <w:szCs w:val="21"/>
              </w:rPr>
            </w:pPr>
            <w:r>
              <w:rPr>
                <w:rFonts w:ascii="Times New Roman" w:hAnsi="Times New Roman" w:cs="仿宋_GB2312"/>
                <w:kern w:val="0"/>
                <w:szCs w:val="21"/>
                <w:lang w:bidi="ar"/>
              </w:rPr>
              <w:t>甲醛</w:t>
            </w:r>
          </w:p>
        </w:tc>
        <w:tc>
          <w:tcPr>
            <w:tcW w:w="3013" w:type="dxa"/>
            <w:tcMar>
              <w:top w:w="15" w:type="dxa"/>
              <w:left w:w="15" w:type="dxa"/>
              <w:bottom w:w="15" w:type="dxa"/>
              <w:right w:w="15" w:type="dxa"/>
            </w:tcMar>
            <w:vAlign w:val="center"/>
          </w:tcPr>
          <w:p>
            <w:pPr>
              <w:widowControl/>
              <w:snapToGrid w:val="0"/>
              <w:ind w:left="28" w:hanging="28"/>
              <w:jc w:val="center"/>
              <w:rPr>
                <w:rFonts w:ascii="Times New Roman" w:hAnsi="Times New Roman"/>
                <w:szCs w:val="21"/>
              </w:rPr>
            </w:pPr>
            <w:r>
              <w:rPr>
                <w:rFonts w:hint="eastAsia" w:ascii="Times New Roman" w:hAnsi="Times New Roman" w:cs="微软雅黑"/>
                <w:kern w:val="0"/>
                <w:szCs w:val="21"/>
                <w:lang w:bidi="ar"/>
              </w:rPr>
              <w:t>formaldehyde</w:t>
            </w:r>
          </w:p>
        </w:tc>
        <w:tc>
          <w:tcPr>
            <w:tcW w:w="1177" w:type="dxa"/>
            <w:tcMar>
              <w:top w:w="15" w:type="dxa"/>
              <w:left w:w="15" w:type="dxa"/>
              <w:bottom w:w="15" w:type="dxa"/>
              <w:right w:w="15" w:type="dxa"/>
            </w:tcMar>
            <w:vAlign w:val="center"/>
          </w:tcPr>
          <w:p>
            <w:pPr>
              <w:widowControl/>
              <w:snapToGrid w:val="0"/>
              <w:ind w:left="9"/>
              <w:jc w:val="center"/>
              <w:rPr>
                <w:rFonts w:ascii="Times New Roman" w:hAnsi="Times New Roman"/>
                <w:szCs w:val="21"/>
              </w:rPr>
            </w:pPr>
            <w:r>
              <w:rPr>
                <w:rFonts w:hint="eastAsia" w:ascii="Times New Roman" w:hAnsi="Times New Roman" w:cs="微软雅黑"/>
                <w:kern w:val="0"/>
                <w:szCs w:val="21"/>
                <w:lang w:bidi="ar"/>
              </w:rPr>
              <w:t>0.5</w:t>
            </w:r>
          </w:p>
        </w:tc>
        <w:tc>
          <w:tcPr>
            <w:tcW w:w="1441" w:type="dxa"/>
            <w:tcMar>
              <w:top w:w="15" w:type="dxa"/>
              <w:left w:w="15" w:type="dxa"/>
              <w:bottom w:w="15" w:type="dxa"/>
              <w:right w:w="15" w:type="dxa"/>
            </w:tcMar>
            <w:vAlign w:val="center"/>
          </w:tcPr>
          <w:p>
            <w:pPr>
              <w:widowControl/>
              <w:snapToGrid w:val="0"/>
              <w:ind w:right="-135"/>
              <w:jc w:val="center"/>
              <w:rPr>
                <w:rFonts w:ascii="Times New Roman" w:hAnsi="Times New Roman"/>
                <w:szCs w:val="21"/>
              </w:rPr>
            </w:pPr>
            <w:r>
              <w:rPr>
                <w:rFonts w:hint="eastAsia" w:ascii="Times New Roman" w:hAnsi="Times New Roman" w:cs="微软雅黑"/>
                <w:kern w:val="0"/>
                <w:szCs w:val="21"/>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5" w:hRule="atLeast"/>
          <w:jc w:val="center"/>
        </w:trPr>
        <w:tc>
          <w:tcPr>
            <w:tcW w:w="2416" w:type="dxa"/>
            <w:tcMar>
              <w:top w:w="15" w:type="dxa"/>
              <w:left w:w="15" w:type="dxa"/>
              <w:bottom w:w="15" w:type="dxa"/>
              <w:right w:w="15" w:type="dxa"/>
            </w:tcMar>
            <w:vAlign w:val="center"/>
          </w:tcPr>
          <w:p>
            <w:pPr>
              <w:widowControl/>
              <w:snapToGrid w:val="0"/>
              <w:ind w:left="28"/>
              <w:jc w:val="center"/>
              <w:rPr>
                <w:rFonts w:ascii="Times New Roman" w:hAnsi="Times New Roman"/>
                <w:szCs w:val="21"/>
              </w:rPr>
            </w:pPr>
            <w:r>
              <w:rPr>
                <w:rFonts w:ascii="Times New Roman" w:hAnsi="Times New Roman" w:cs="仿宋_GB2312"/>
                <w:kern w:val="0"/>
                <w:szCs w:val="21"/>
                <w:lang w:bidi="ar"/>
              </w:rPr>
              <w:t>铬及其化合物（三氧化铬、铬酸盐、重铬酸盐）</w:t>
            </w:r>
          </w:p>
        </w:tc>
        <w:tc>
          <w:tcPr>
            <w:tcW w:w="3013" w:type="dxa"/>
            <w:tcMar>
              <w:top w:w="15" w:type="dxa"/>
              <w:left w:w="15" w:type="dxa"/>
              <w:bottom w:w="15" w:type="dxa"/>
              <w:right w:w="15" w:type="dxa"/>
            </w:tcMar>
            <w:vAlign w:val="center"/>
          </w:tcPr>
          <w:p>
            <w:pPr>
              <w:widowControl/>
              <w:snapToGrid w:val="0"/>
              <w:ind w:hanging="28"/>
              <w:jc w:val="center"/>
              <w:rPr>
                <w:rFonts w:ascii="Times New Roman" w:hAnsi="Times New Roman"/>
                <w:szCs w:val="21"/>
              </w:rPr>
            </w:pPr>
            <w:r>
              <w:rPr>
                <w:rFonts w:hint="eastAsia" w:ascii="Times New Roman" w:hAnsi="Times New Roman" w:cs="微软雅黑"/>
                <w:kern w:val="0"/>
                <w:szCs w:val="21"/>
                <w:lang w:bidi="ar"/>
              </w:rPr>
              <w:t>chromic and compounds</w:t>
            </w:r>
            <w:r>
              <w:rPr>
                <w:rFonts w:ascii="Times New Roman" w:hAnsi="Times New Roman" w:cs="仿宋_GB2312"/>
                <w:kern w:val="0"/>
                <w:szCs w:val="21"/>
                <w:lang w:bidi="ar"/>
              </w:rPr>
              <w:t>（</w:t>
            </w:r>
            <w:r>
              <w:rPr>
                <w:rFonts w:hint="eastAsia" w:ascii="Times New Roman" w:hAnsi="Times New Roman" w:cs="微软雅黑"/>
                <w:kern w:val="0"/>
                <w:szCs w:val="21"/>
                <w:lang w:bidi="ar"/>
              </w:rPr>
              <w:t>chromium trioxide,chromate,dichromate</w:t>
            </w:r>
            <w:r>
              <w:rPr>
                <w:rFonts w:ascii="Times New Roman" w:hAnsi="Times New Roman" w:cs="仿宋_GB2312"/>
                <w:kern w:val="0"/>
                <w:szCs w:val="21"/>
                <w:lang w:bidi="ar"/>
              </w:rPr>
              <w:t>）</w:t>
            </w:r>
          </w:p>
        </w:tc>
        <w:tc>
          <w:tcPr>
            <w:tcW w:w="1177" w:type="dxa"/>
            <w:tcMar>
              <w:top w:w="15" w:type="dxa"/>
              <w:left w:w="15" w:type="dxa"/>
              <w:bottom w:w="15" w:type="dxa"/>
              <w:right w:w="15" w:type="dxa"/>
            </w:tcMar>
            <w:vAlign w:val="center"/>
          </w:tcPr>
          <w:p>
            <w:pPr>
              <w:widowControl/>
              <w:snapToGrid w:val="0"/>
              <w:ind w:left="9"/>
              <w:jc w:val="center"/>
              <w:rPr>
                <w:rFonts w:ascii="Times New Roman" w:hAnsi="Times New Roman"/>
                <w:szCs w:val="21"/>
              </w:rPr>
            </w:pPr>
            <w:r>
              <w:rPr>
                <w:rFonts w:hint="eastAsia" w:ascii="Times New Roman" w:hAnsi="Times New Roman" w:cs="微软雅黑"/>
                <w:kern w:val="0"/>
                <w:szCs w:val="21"/>
                <w:lang w:bidi="ar"/>
              </w:rPr>
              <w:t>-</w:t>
            </w:r>
          </w:p>
        </w:tc>
        <w:tc>
          <w:tcPr>
            <w:tcW w:w="1441" w:type="dxa"/>
            <w:tcMar>
              <w:top w:w="15" w:type="dxa"/>
              <w:left w:w="15" w:type="dxa"/>
              <w:bottom w:w="15" w:type="dxa"/>
              <w:right w:w="15" w:type="dxa"/>
            </w:tcMar>
            <w:vAlign w:val="center"/>
          </w:tcPr>
          <w:p>
            <w:pPr>
              <w:widowControl/>
              <w:snapToGrid w:val="0"/>
              <w:ind w:right="-135"/>
              <w:jc w:val="center"/>
              <w:rPr>
                <w:rFonts w:ascii="Times New Roman" w:hAnsi="Times New Roman"/>
                <w:szCs w:val="21"/>
              </w:rPr>
            </w:pPr>
            <w:r>
              <w:rPr>
                <w:rFonts w:hint="eastAsia" w:ascii="Times New Roman" w:hAnsi="Times New Roman" w:cs="微软雅黑"/>
                <w:kern w:val="0"/>
                <w:szCs w:val="21"/>
                <w:lang w:bidi="ar"/>
              </w:rPr>
              <w:t>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416" w:type="dxa"/>
            <w:tcMar>
              <w:top w:w="15" w:type="dxa"/>
              <w:left w:w="15" w:type="dxa"/>
              <w:bottom w:w="15" w:type="dxa"/>
              <w:right w:w="15" w:type="dxa"/>
            </w:tcMar>
            <w:vAlign w:val="center"/>
          </w:tcPr>
          <w:p>
            <w:pPr>
              <w:widowControl/>
              <w:snapToGrid w:val="0"/>
              <w:ind w:left="28"/>
              <w:jc w:val="center"/>
              <w:rPr>
                <w:rFonts w:ascii="Times New Roman" w:hAnsi="Times New Roman"/>
                <w:szCs w:val="21"/>
              </w:rPr>
            </w:pPr>
            <w:r>
              <w:rPr>
                <w:rFonts w:ascii="Times New Roman" w:hAnsi="Times New Roman" w:cs="仿宋_GB2312"/>
                <w:kern w:val="0"/>
                <w:szCs w:val="21"/>
                <w:lang w:bidi="ar"/>
              </w:rPr>
              <w:t>氯乙烯</w:t>
            </w:r>
          </w:p>
        </w:tc>
        <w:tc>
          <w:tcPr>
            <w:tcW w:w="3013" w:type="dxa"/>
            <w:tcMar>
              <w:top w:w="15" w:type="dxa"/>
              <w:left w:w="15" w:type="dxa"/>
              <w:bottom w:w="15" w:type="dxa"/>
              <w:right w:w="15" w:type="dxa"/>
            </w:tcMar>
            <w:vAlign w:val="center"/>
          </w:tcPr>
          <w:p>
            <w:pPr>
              <w:widowControl/>
              <w:snapToGrid w:val="0"/>
              <w:ind w:left="28" w:hanging="28"/>
              <w:jc w:val="center"/>
              <w:rPr>
                <w:rFonts w:ascii="Times New Roman" w:hAnsi="Times New Roman"/>
                <w:szCs w:val="21"/>
              </w:rPr>
            </w:pPr>
            <w:r>
              <w:rPr>
                <w:rFonts w:hint="eastAsia" w:ascii="Times New Roman" w:hAnsi="Times New Roman" w:cs="微软雅黑"/>
                <w:kern w:val="0"/>
                <w:szCs w:val="21"/>
                <w:lang w:bidi="ar"/>
              </w:rPr>
              <w:t>vinyl chloride</w:t>
            </w:r>
          </w:p>
        </w:tc>
        <w:tc>
          <w:tcPr>
            <w:tcW w:w="1177" w:type="dxa"/>
            <w:tcMar>
              <w:top w:w="15" w:type="dxa"/>
              <w:left w:w="15" w:type="dxa"/>
              <w:bottom w:w="15" w:type="dxa"/>
              <w:right w:w="15" w:type="dxa"/>
            </w:tcMar>
            <w:vAlign w:val="center"/>
          </w:tcPr>
          <w:p>
            <w:pPr>
              <w:widowControl/>
              <w:snapToGrid w:val="0"/>
              <w:jc w:val="center"/>
              <w:rPr>
                <w:rFonts w:ascii="Times New Roman" w:hAnsi="Times New Roman"/>
                <w:szCs w:val="21"/>
              </w:rPr>
            </w:pPr>
            <w:r>
              <w:rPr>
                <w:rFonts w:hint="eastAsia" w:ascii="Times New Roman" w:hAnsi="Times New Roman" w:cs="微软雅黑"/>
                <w:kern w:val="0"/>
                <w:szCs w:val="21"/>
                <w:lang w:bidi="ar"/>
              </w:rPr>
              <w:t>-</w:t>
            </w:r>
          </w:p>
        </w:tc>
        <w:tc>
          <w:tcPr>
            <w:tcW w:w="1441" w:type="dxa"/>
            <w:tcMar>
              <w:top w:w="15" w:type="dxa"/>
              <w:left w:w="15" w:type="dxa"/>
              <w:bottom w:w="15" w:type="dxa"/>
              <w:right w:w="15" w:type="dxa"/>
            </w:tcMar>
            <w:vAlign w:val="center"/>
          </w:tcPr>
          <w:p>
            <w:pPr>
              <w:widowControl/>
              <w:snapToGrid w:val="0"/>
              <w:ind w:right="-135"/>
              <w:jc w:val="center"/>
              <w:rPr>
                <w:rFonts w:ascii="Times New Roman" w:hAnsi="Times New Roman"/>
                <w:szCs w:val="21"/>
              </w:rPr>
            </w:pPr>
            <w:r>
              <w:rPr>
                <w:rFonts w:hint="eastAsia" w:ascii="Times New Roman" w:hAnsi="Times New Roman" w:cs="微软雅黑"/>
                <w:kern w:val="0"/>
                <w:szCs w:val="21"/>
                <w:lang w:bidi="ar"/>
              </w:rPr>
              <w:t>10</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416" w:type="dxa"/>
            <w:tcMar>
              <w:top w:w="15" w:type="dxa"/>
              <w:left w:w="15" w:type="dxa"/>
              <w:bottom w:w="15" w:type="dxa"/>
              <w:right w:w="15" w:type="dxa"/>
            </w:tcMar>
            <w:vAlign w:val="center"/>
          </w:tcPr>
          <w:p>
            <w:pPr>
              <w:widowControl/>
              <w:snapToGrid w:val="0"/>
              <w:ind w:firstLine="220"/>
              <w:jc w:val="center"/>
              <w:rPr>
                <w:rFonts w:ascii="Times New Roman" w:hAnsi="Times New Roman"/>
                <w:szCs w:val="21"/>
              </w:rPr>
            </w:pPr>
            <w:r>
              <w:rPr>
                <w:rFonts w:ascii="Times New Roman" w:hAnsi="Times New Roman" w:cs="仿宋_GB2312"/>
                <w:kern w:val="0"/>
                <w:szCs w:val="21"/>
                <w:lang w:bidi="ar"/>
              </w:rPr>
              <w:t>镍与难溶性镍化合物</w:t>
            </w:r>
          </w:p>
        </w:tc>
        <w:tc>
          <w:tcPr>
            <w:tcW w:w="3013" w:type="dxa"/>
            <w:tcMar>
              <w:top w:w="15" w:type="dxa"/>
              <w:left w:w="15" w:type="dxa"/>
              <w:bottom w:w="15" w:type="dxa"/>
              <w:right w:w="15" w:type="dxa"/>
            </w:tcMar>
            <w:vAlign w:val="center"/>
          </w:tcPr>
          <w:p>
            <w:pPr>
              <w:widowControl/>
              <w:snapToGrid w:val="0"/>
              <w:ind w:firstLine="220"/>
              <w:jc w:val="center"/>
              <w:rPr>
                <w:rFonts w:ascii="Times New Roman" w:hAnsi="Times New Roman"/>
                <w:szCs w:val="21"/>
              </w:rPr>
            </w:pPr>
            <w:r>
              <w:rPr>
                <w:rFonts w:hint="eastAsia" w:ascii="Times New Roman" w:hAnsi="Times New Roman" w:cs="微软雅黑"/>
                <w:kern w:val="0"/>
                <w:szCs w:val="21"/>
                <w:lang w:bidi="ar"/>
              </w:rPr>
              <w:t>nickel and insoluble compounds</w:t>
            </w:r>
          </w:p>
        </w:tc>
        <w:tc>
          <w:tcPr>
            <w:tcW w:w="1177" w:type="dxa"/>
            <w:tcMar>
              <w:top w:w="15" w:type="dxa"/>
              <w:left w:w="15" w:type="dxa"/>
              <w:bottom w:w="15" w:type="dxa"/>
              <w:right w:w="15" w:type="dxa"/>
            </w:tcMar>
            <w:vAlign w:val="center"/>
          </w:tcPr>
          <w:p>
            <w:pPr>
              <w:widowControl/>
              <w:snapToGrid w:val="0"/>
              <w:jc w:val="center"/>
              <w:rPr>
                <w:rFonts w:ascii="Times New Roman" w:hAnsi="Times New Roman"/>
                <w:szCs w:val="21"/>
              </w:rPr>
            </w:pPr>
            <w:r>
              <w:rPr>
                <w:rFonts w:hint="eastAsia" w:ascii="Times New Roman" w:hAnsi="Times New Roman" w:cs="微软雅黑"/>
                <w:kern w:val="0"/>
                <w:szCs w:val="21"/>
                <w:lang w:bidi="ar"/>
              </w:rPr>
              <w:t>-</w:t>
            </w:r>
          </w:p>
        </w:tc>
        <w:tc>
          <w:tcPr>
            <w:tcW w:w="1441" w:type="dxa"/>
            <w:tcMar>
              <w:top w:w="15" w:type="dxa"/>
              <w:left w:w="15" w:type="dxa"/>
              <w:bottom w:w="15" w:type="dxa"/>
              <w:right w:w="15" w:type="dxa"/>
            </w:tcMar>
            <w:vAlign w:val="center"/>
          </w:tcPr>
          <w:p>
            <w:pPr>
              <w:widowControl/>
              <w:snapToGrid w:val="0"/>
              <w:jc w:val="center"/>
              <w:rPr>
                <w:rFonts w:ascii="Times New Roman" w:hAnsi="Times New Roman"/>
                <w:szCs w:val="21"/>
              </w:rPr>
            </w:pPr>
            <w:r>
              <w:rPr>
                <w:rFonts w:hint="eastAsia" w:ascii="Times New Roman" w:hAnsi="Times New Roman" w:cs="微软雅黑"/>
                <w:kern w:val="0"/>
                <w:szCs w:val="21"/>
                <w:lang w:bidi="ar"/>
              </w:rPr>
              <w:t>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416" w:type="dxa"/>
            <w:tcMar>
              <w:top w:w="15" w:type="dxa"/>
              <w:left w:w="15" w:type="dxa"/>
              <w:bottom w:w="15" w:type="dxa"/>
              <w:right w:w="15" w:type="dxa"/>
            </w:tcMar>
            <w:vAlign w:val="center"/>
          </w:tcPr>
          <w:p>
            <w:pPr>
              <w:widowControl/>
              <w:snapToGrid w:val="0"/>
              <w:ind w:firstLine="220"/>
              <w:jc w:val="center"/>
              <w:rPr>
                <w:rFonts w:ascii="Times New Roman" w:hAnsi="Times New Roman"/>
                <w:szCs w:val="21"/>
              </w:rPr>
            </w:pPr>
            <w:r>
              <w:rPr>
                <w:rFonts w:ascii="Times New Roman" w:hAnsi="Times New Roman" w:cs="仿宋_GB2312"/>
                <w:kern w:val="0"/>
                <w:szCs w:val="21"/>
                <w:lang w:bidi="ar"/>
              </w:rPr>
              <w:t>可溶性镍化合物</w:t>
            </w:r>
          </w:p>
        </w:tc>
        <w:tc>
          <w:tcPr>
            <w:tcW w:w="3013" w:type="dxa"/>
            <w:tcMar>
              <w:top w:w="15" w:type="dxa"/>
              <w:left w:w="15" w:type="dxa"/>
              <w:bottom w:w="15" w:type="dxa"/>
              <w:right w:w="15" w:type="dxa"/>
            </w:tcMar>
            <w:vAlign w:val="center"/>
          </w:tcPr>
          <w:p>
            <w:pPr>
              <w:widowControl/>
              <w:snapToGrid w:val="0"/>
              <w:ind w:firstLine="220"/>
              <w:jc w:val="center"/>
              <w:rPr>
                <w:rFonts w:ascii="Times New Roman" w:hAnsi="Times New Roman"/>
                <w:szCs w:val="21"/>
              </w:rPr>
            </w:pPr>
            <w:r>
              <w:rPr>
                <w:rFonts w:hint="eastAsia" w:ascii="Times New Roman" w:hAnsi="Times New Roman" w:cs="微软雅黑"/>
                <w:kern w:val="0"/>
                <w:szCs w:val="21"/>
                <w:lang w:bidi="ar"/>
              </w:rPr>
              <w:t>soluble nickel compounds</w:t>
            </w:r>
          </w:p>
        </w:tc>
        <w:tc>
          <w:tcPr>
            <w:tcW w:w="1177" w:type="dxa"/>
            <w:tcMar>
              <w:top w:w="15" w:type="dxa"/>
              <w:left w:w="15" w:type="dxa"/>
              <w:bottom w:w="15" w:type="dxa"/>
              <w:right w:w="15" w:type="dxa"/>
            </w:tcMar>
            <w:vAlign w:val="center"/>
          </w:tcPr>
          <w:p>
            <w:pPr>
              <w:widowControl/>
              <w:snapToGrid w:val="0"/>
              <w:jc w:val="center"/>
              <w:rPr>
                <w:rFonts w:ascii="Times New Roman" w:hAnsi="Times New Roman"/>
                <w:szCs w:val="21"/>
              </w:rPr>
            </w:pPr>
            <w:r>
              <w:rPr>
                <w:rFonts w:hint="eastAsia" w:ascii="Times New Roman" w:hAnsi="Times New Roman" w:cs="微软雅黑"/>
                <w:kern w:val="0"/>
                <w:szCs w:val="21"/>
                <w:lang w:bidi="ar"/>
              </w:rPr>
              <w:t>-</w:t>
            </w:r>
          </w:p>
        </w:tc>
        <w:tc>
          <w:tcPr>
            <w:tcW w:w="1441" w:type="dxa"/>
            <w:tcMar>
              <w:top w:w="15" w:type="dxa"/>
              <w:left w:w="15" w:type="dxa"/>
              <w:bottom w:w="15" w:type="dxa"/>
              <w:right w:w="15" w:type="dxa"/>
            </w:tcMar>
            <w:vAlign w:val="center"/>
          </w:tcPr>
          <w:p>
            <w:pPr>
              <w:widowControl/>
              <w:snapToGrid w:val="0"/>
              <w:jc w:val="center"/>
              <w:rPr>
                <w:rFonts w:ascii="Times New Roman" w:hAnsi="Times New Roman"/>
                <w:szCs w:val="21"/>
              </w:rPr>
            </w:pPr>
            <w:r>
              <w:rPr>
                <w:rFonts w:hint="eastAsia" w:ascii="Times New Roman" w:hAnsi="Times New Roman" w:cs="微软雅黑"/>
                <w:kern w:val="0"/>
                <w:szCs w:val="21"/>
                <w:lang w:bidi="ar"/>
              </w:rPr>
              <w:t>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416" w:type="dxa"/>
            <w:tcMar>
              <w:top w:w="15" w:type="dxa"/>
              <w:left w:w="15" w:type="dxa"/>
              <w:bottom w:w="15" w:type="dxa"/>
              <w:right w:w="15" w:type="dxa"/>
            </w:tcMar>
            <w:vAlign w:val="center"/>
          </w:tcPr>
          <w:p>
            <w:pPr>
              <w:widowControl/>
              <w:snapToGrid w:val="0"/>
              <w:ind w:left="28"/>
              <w:jc w:val="center"/>
              <w:rPr>
                <w:rFonts w:ascii="Times New Roman" w:hAnsi="Times New Roman"/>
                <w:szCs w:val="21"/>
              </w:rPr>
            </w:pPr>
            <w:r>
              <w:rPr>
                <w:rFonts w:ascii="Times New Roman" w:hAnsi="Times New Roman" w:cs="仿宋_GB2312"/>
                <w:kern w:val="0"/>
                <w:szCs w:val="21"/>
                <w:lang w:bidi="ar"/>
              </w:rPr>
              <w:t>铍及其化合物</w:t>
            </w:r>
          </w:p>
        </w:tc>
        <w:tc>
          <w:tcPr>
            <w:tcW w:w="3013" w:type="dxa"/>
            <w:tcMar>
              <w:top w:w="15" w:type="dxa"/>
              <w:left w:w="15" w:type="dxa"/>
              <w:bottom w:w="15" w:type="dxa"/>
              <w:right w:w="15" w:type="dxa"/>
            </w:tcMar>
            <w:vAlign w:val="center"/>
          </w:tcPr>
          <w:p>
            <w:pPr>
              <w:widowControl/>
              <w:snapToGrid w:val="0"/>
              <w:ind w:hanging="27"/>
              <w:jc w:val="center"/>
              <w:rPr>
                <w:rFonts w:ascii="Times New Roman" w:hAnsi="Times New Roman"/>
                <w:szCs w:val="21"/>
              </w:rPr>
            </w:pPr>
            <w:r>
              <w:rPr>
                <w:rFonts w:hint="eastAsia" w:ascii="Times New Roman" w:hAnsi="Times New Roman" w:cs="微软雅黑"/>
                <w:kern w:val="0"/>
                <w:szCs w:val="21"/>
                <w:lang w:bidi="ar"/>
              </w:rPr>
              <w:t>beryllium and compounds</w:t>
            </w:r>
          </w:p>
        </w:tc>
        <w:tc>
          <w:tcPr>
            <w:tcW w:w="1177" w:type="dxa"/>
            <w:tcMar>
              <w:top w:w="15" w:type="dxa"/>
              <w:left w:w="15" w:type="dxa"/>
              <w:bottom w:w="15" w:type="dxa"/>
              <w:right w:w="15" w:type="dxa"/>
            </w:tcMar>
            <w:vAlign w:val="center"/>
          </w:tcPr>
          <w:p>
            <w:pPr>
              <w:widowControl/>
              <w:snapToGrid w:val="0"/>
              <w:ind w:left="129"/>
              <w:jc w:val="center"/>
              <w:rPr>
                <w:rFonts w:ascii="Times New Roman" w:hAnsi="Times New Roman"/>
                <w:szCs w:val="21"/>
              </w:rPr>
            </w:pPr>
            <w:r>
              <w:rPr>
                <w:rFonts w:hint="eastAsia" w:ascii="Times New Roman" w:hAnsi="Times New Roman" w:cs="微软雅黑"/>
                <w:kern w:val="0"/>
                <w:szCs w:val="21"/>
                <w:lang w:bidi="ar"/>
              </w:rPr>
              <w:t>-</w:t>
            </w:r>
          </w:p>
        </w:tc>
        <w:tc>
          <w:tcPr>
            <w:tcW w:w="1441" w:type="dxa"/>
            <w:tcMar>
              <w:top w:w="15" w:type="dxa"/>
              <w:left w:w="15" w:type="dxa"/>
              <w:bottom w:w="15" w:type="dxa"/>
              <w:right w:w="15" w:type="dxa"/>
            </w:tcMar>
            <w:vAlign w:val="center"/>
          </w:tcPr>
          <w:p>
            <w:pPr>
              <w:widowControl/>
              <w:snapToGrid w:val="0"/>
              <w:ind w:right="-135"/>
              <w:jc w:val="center"/>
              <w:rPr>
                <w:rFonts w:ascii="Times New Roman" w:hAnsi="Times New Roman"/>
                <w:szCs w:val="21"/>
              </w:rPr>
            </w:pPr>
            <w:r>
              <w:rPr>
                <w:rFonts w:hint="eastAsia" w:ascii="Times New Roman" w:hAnsi="Times New Roman" w:cs="微软雅黑"/>
                <w:kern w:val="0"/>
                <w:szCs w:val="21"/>
                <w:lang w:bidi="ar"/>
              </w:rPr>
              <w:t>0.0005</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416" w:type="dxa"/>
            <w:tcMar>
              <w:top w:w="15" w:type="dxa"/>
              <w:left w:w="15" w:type="dxa"/>
              <w:bottom w:w="15" w:type="dxa"/>
              <w:right w:w="15" w:type="dxa"/>
            </w:tcMar>
            <w:vAlign w:val="center"/>
          </w:tcPr>
          <w:p>
            <w:pPr>
              <w:widowControl/>
              <w:snapToGrid w:val="0"/>
              <w:jc w:val="center"/>
              <w:rPr>
                <w:rFonts w:ascii="Times New Roman" w:hAnsi="Times New Roman"/>
                <w:szCs w:val="21"/>
              </w:rPr>
            </w:pPr>
            <w:r>
              <w:rPr>
                <w:rFonts w:ascii="Times New Roman" w:hAnsi="Times New Roman" w:cs="仿宋_GB2312"/>
                <w:kern w:val="0"/>
                <w:szCs w:val="21"/>
                <w:lang w:bidi="ar"/>
              </w:rPr>
              <w:t>砷及其无机化合物</w:t>
            </w:r>
          </w:p>
        </w:tc>
        <w:tc>
          <w:tcPr>
            <w:tcW w:w="3013" w:type="dxa"/>
            <w:tcMar>
              <w:top w:w="15" w:type="dxa"/>
              <w:left w:w="15" w:type="dxa"/>
              <w:bottom w:w="15" w:type="dxa"/>
              <w:right w:w="15" w:type="dxa"/>
            </w:tcMar>
            <w:vAlign w:val="center"/>
          </w:tcPr>
          <w:p>
            <w:pPr>
              <w:widowControl/>
              <w:snapToGrid w:val="0"/>
              <w:jc w:val="center"/>
              <w:rPr>
                <w:rFonts w:ascii="Times New Roman" w:hAnsi="Times New Roman"/>
                <w:szCs w:val="21"/>
              </w:rPr>
            </w:pPr>
            <w:r>
              <w:rPr>
                <w:rFonts w:hint="eastAsia" w:ascii="Times New Roman" w:hAnsi="Times New Roman" w:cs="微软雅黑"/>
                <w:kern w:val="0"/>
                <w:szCs w:val="21"/>
                <w:lang w:bidi="ar"/>
              </w:rPr>
              <w:t>arsenic and inorganic compounds</w:t>
            </w:r>
          </w:p>
        </w:tc>
        <w:tc>
          <w:tcPr>
            <w:tcW w:w="1177" w:type="dxa"/>
            <w:tcMar>
              <w:top w:w="15" w:type="dxa"/>
              <w:left w:w="15" w:type="dxa"/>
              <w:bottom w:w="15" w:type="dxa"/>
              <w:right w:w="15" w:type="dxa"/>
            </w:tcMar>
            <w:vAlign w:val="center"/>
          </w:tcPr>
          <w:p>
            <w:pPr>
              <w:widowControl/>
              <w:snapToGrid w:val="0"/>
              <w:jc w:val="center"/>
              <w:rPr>
                <w:rFonts w:ascii="Times New Roman" w:hAnsi="Times New Roman"/>
                <w:szCs w:val="21"/>
              </w:rPr>
            </w:pPr>
            <w:r>
              <w:rPr>
                <w:rFonts w:hint="eastAsia" w:ascii="Times New Roman" w:hAnsi="Times New Roman" w:cs="微软雅黑"/>
                <w:kern w:val="0"/>
                <w:szCs w:val="21"/>
                <w:lang w:bidi="ar"/>
              </w:rPr>
              <w:t>-</w:t>
            </w:r>
          </w:p>
        </w:tc>
        <w:tc>
          <w:tcPr>
            <w:tcW w:w="1441" w:type="dxa"/>
            <w:tcMar>
              <w:top w:w="15" w:type="dxa"/>
              <w:left w:w="15" w:type="dxa"/>
              <w:bottom w:w="15" w:type="dxa"/>
              <w:right w:w="15" w:type="dxa"/>
            </w:tcMar>
            <w:vAlign w:val="center"/>
          </w:tcPr>
          <w:p>
            <w:pPr>
              <w:widowControl/>
              <w:snapToGrid w:val="0"/>
              <w:jc w:val="center"/>
              <w:rPr>
                <w:rFonts w:ascii="Times New Roman" w:hAnsi="Times New Roman"/>
                <w:szCs w:val="21"/>
              </w:rPr>
            </w:pPr>
            <w:r>
              <w:rPr>
                <w:rFonts w:hint="eastAsia" w:ascii="Times New Roman" w:hAnsi="Times New Roman" w:cs="微软雅黑"/>
                <w:kern w:val="0"/>
                <w:szCs w:val="21"/>
                <w:lang w:bidi="ar"/>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416" w:type="dxa"/>
            <w:tcMar>
              <w:top w:w="15" w:type="dxa"/>
              <w:left w:w="15" w:type="dxa"/>
              <w:bottom w:w="15" w:type="dxa"/>
              <w:right w:w="15" w:type="dxa"/>
            </w:tcMar>
            <w:vAlign w:val="center"/>
          </w:tcPr>
          <w:p>
            <w:pPr>
              <w:widowControl/>
              <w:snapToGrid w:val="0"/>
              <w:ind w:left="28"/>
              <w:jc w:val="center"/>
              <w:rPr>
                <w:rFonts w:ascii="Times New Roman" w:hAnsi="Times New Roman"/>
                <w:szCs w:val="21"/>
              </w:rPr>
            </w:pPr>
            <w:r>
              <w:rPr>
                <w:rFonts w:ascii="Times New Roman" w:hAnsi="Times New Roman" w:cs="仿宋_GB2312"/>
                <w:kern w:val="0"/>
                <w:szCs w:val="21"/>
                <w:lang w:bidi="ar"/>
              </w:rPr>
              <w:t>砷化（三）氢；胂</w:t>
            </w:r>
          </w:p>
        </w:tc>
        <w:tc>
          <w:tcPr>
            <w:tcW w:w="3013" w:type="dxa"/>
            <w:tcMar>
              <w:top w:w="15" w:type="dxa"/>
              <w:left w:w="15" w:type="dxa"/>
              <w:bottom w:w="15" w:type="dxa"/>
              <w:right w:w="15" w:type="dxa"/>
            </w:tcMar>
            <w:vAlign w:val="center"/>
          </w:tcPr>
          <w:p>
            <w:pPr>
              <w:widowControl/>
              <w:snapToGrid w:val="0"/>
              <w:ind w:left="28" w:hanging="28"/>
              <w:jc w:val="center"/>
              <w:rPr>
                <w:rFonts w:ascii="Times New Roman" w:hAnsi="Times New Roman"/>
                <w:szCs w:val="21"/>
              </w:rPr>
            </w:pPr>
            <w:r>
              <w:rPr>
                <w:rFonts w:hint="eastAsia" w:ascii="Times New Roman" w:hAnsi="Times New Roman" w:cs="微软雅黑"/>
                <w:kern w:val="0"/>
                <w:szCs w:val="21"/>
                <w:lang w:bidi="ar"/>
              </w:rPr>
              <w:t>arsine</w:t>
            </w:r>
          </w:p>
        </w:tc>
        <w:tc>
          <w:tcPr>
            <w:tcW w:w="1177" w:type="dxa"/>
            <w:tcMar>
              <w:top w:w="15" w:type="dxa"/>
              <w:left w:w="15" w:type="dxa"/>
              <w:bottom w:w="15" w:type="dxa"/>
              <w:right w:w="15" w:type="dxa"/>
            </w:tcMar>
            <w:vAlign w:val="center"/>
          </w:tcPr>
          <w:p>
            <w:pPr>
              <w:widowControl/>
              <w:snapToGrid w:val="0"/>
              <w:ind w:hanging="108"/>
              <w:jc w:val="center"/>
              <w:rPr>
                <w:rFonts w:ascii="Times New Roman" w:hAnsi="Times New Roman"/>
                <w:szCs w:val="21"/>
              </w:rPr>
            </w:pPr>
            <w:r>
              <w:rPr>
                <w:rFonts w:hint="eastAsia" w:ascii="Times New Roman" w:hAnsi="Times New Roman" w:cs="微软雅黑"/>
                <w:kern w:val="0"/>
                <w:szCs w:val="21"/>
                <w:lang w:bidi="ar"/>
              </w:rPr>
              <w:t>0.03</w:t>
            </w:r>
          </w:p>
        </w:tc>
        <w:tc>
          <w:tcPr>
            <w:tcW w:w="1441" w:type="dxa"/>
            <w:tcMar>
              <w:top w:w="15" w:type="dxa"/>
              <w:left w:w="15" w:type="dxa"/>
              <w:bottom w:w="15" w:type="dxa"/>
              <w:right w:w="15" w:type="dxa"/>
            </w:tcMar>
            <w:vAlign w:val="center"/>
          </w:tcPr>
          <w:p>
            <w:pPr>
              <w:widowControl/>
              <w:snapToGrid w:val="0"/>
              <w:ind w:right="-135"/>
              <w:jc w:val="center"/>
              <w:rPr>
                <w:rFonts w:ascii="Times New Roman" w:hAnsi="Times New Roman"/>
                <w:szCs w:val="21"/>
              </w:rPr>
            </w:pPr>
            <w:r>
              <w:rPr>
                <w:rFonts w:hint="eastAsia" w:ascii="Times New Roman" w:hAnsi="Times New Roman" w:cs="微软雅黑"/>
                <w:kern w:val="0"/>
                <w:szCs w:val="21"/>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416" w:type="dxa"/>
            <w:tcMar>
              <w:top w:w="15" w:type="dxa"/>
              <w:left w:w="15" w:type="dxa"/>
              <w:bottom w:w="15" w:type="dxa"/>
              <w:right w:w="15" w:type="dxa"/>
            </w:tcMar>
            <w:vAlign w:val="center"/>
          </w:tcPr>
          <w:p>
            <w:pPr>
              <w:widowControl/>
              <w:snapToGrid w:val="0"/>
              <w:ind w:left="28"/>
              <w:jc w:val="center"/>
              <w:rPr>
                <w:rFonts w:ascii="Times New Roman" w:hAnsi="Times New Roman"/>
                <w:szCs w:val="21"/>
              </w:rPr>
            </w:pPr>
            <w:r>
              <w:rPr>
                <w:rFonts w:ascii="Times New Roman" w:hAnsi="Times New Roman" w:cs="仿宋_GB2312"/>
                <w:kern w:val="0"/>
                <w:szCs w:val="21"/>
                <w:lang w:bidi="ar"/>
              </w:rPr>
              <w:t>氯甲基醚</w:t>
            </w:r>
          </w:p>
        </w:tc>
        <w:tc>
          <w:tcPr>
            <w:tcW w:w="3013" w:type="dxa"/>
            <w:tcMar>
              <w:top w:w="15" w:type="dxa"/>
              <w:left w:w="15" w:type="dxa"/>
              <w:bottom w:w="15" w:type="dxa"/>
              <w:right w:w="15" w:type="dxa"/>
            </w:tcMar>
            <w:vAlign w:val="center"/>
          </w:tcPr>
          <w:p>
            <w:pPr>
              <w:widowControl/>
              <w:snapToGrid w:val="0"/>
              <w:ind w:left="28"/>
              <w:jc w:val="center"/>
              <w:rPr>
                <w:rFonts w:ascii="Times New Roman" w:hAnsi="Times New Roman"/>
                <w:szCs w:val="21"/>
              </w:rPr>
            </w:pPr>
            <w:r>
              <w:rPr>
                <w:rFonts w:hint="eastAsia" w:ascii="Times New Roman" w:hAnsi="Times New Roman" w:cs="微软雅黑"/>
                <w:kern w:val="0"/>
                <w:szCs w:val="21"/>
                <w:lang w:bidi="ar"/>
              </w:rPr>
              <w:t>chloromethyl methyl ether</w:t>
            </w:r>
          </w:p>
        </w:tc>
        <w:tc>
          <w:tcPr>
            <w:tcW w:w="1177" w:type="dxa"/>
            <w:tcMar>
              <w:top w:w="15" w:type="dxa"/>
              <w:left w:w="15" w:type="dxa"/>
              <w:bottom w:w="15" w:type="dxa"/>
              <w:right w:w="15" w:type="dxa"/>
            </w:tcMar>
            <w:vAlign w:val="center"/>
          </w:tcPr>
          <w:p>
            <w:pPr>
              <w:widowControl/>
              <w:snapToGrid w:val="0"/>
              <w:ind w:left="28" w:hanging="28"/>
              <w:jc w:val="center"/>
              <w:rPr>
                <w:rFonts w:ascii="Times New Roman" w:hAnsi="Times New Roman"/>
                <w:szCs w:val="21"/>
              </w:rPr>
            </w:pPr>
            <w:r>
              <w:rPr>
                <w:rFonts w:hint="eastAsia" w:ascii="Times New Roman" w:hAnsi="Times New Roman" w:cs="微软雅黑"/>
                <w:kern w:val="0"/>
                <w:szCs w:val="21"/>
                <w:lang w:bidi="ar"/>
              </w:rPr>
              <w:t>0.005</w:t>
            </w:r>
          </w:p>
        </w:tc>
        <w:tc>
          <w:tcPr>
            <w:tcW w:w="1441" w:type="dxa"/>
            <w:tcMar>
              <w:top w:w="15" w:type="dxa"/>
              <w:left w:w="15" w:type="dxa"/>
              <w:bottom w:w="15" w:type="dxa"/>
              <w:right w:w="15" w:type="dxa"/>
            </w:tcMar>
            <w:vAlign w:val="center"/>
          </w:tcPr>
          <w:p>
            <w:pPr>
              <w:widowControl/>
              <w:snapToGrid w:val="0"/>
              <w:ind w:right="-135"/>
              <w:jc w:val="center"/>
              <w:rPr>
                <w:rFonts w:ascii="Times New Roman" w:hAnsi="Times New Roman"/>
                <w:szCs w:val="21"/>
              </w:rPr>
            </w:pPr>
            <w:r>
              <w:rPr>
                <w:rFonts w:hint="eastAsia" w:ascii="Times New Roman" w:hAnsi="Times New Roman" w:cs="微软雅黑"/>
                <w:kern w:val="0"/>
                <w:szCs w:val="21"/>
                <w:lang w:bidi="ar"/>
              </w:rPr>
              <w:t>-</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416" w:type="dxa"/>
            <w:tcMar>
              <w:top w:w="15" w:type="dxa"/>
              <w:left w:w="15" w:type="dxa"/>
              <w:bottom w:w="15" w:type="dxa"/>
              <w:right w:w="15" w:type="dxa"/>
            </w:tcMar>
            <w:vAlign w:val="center"/>
          </w:tcPr>
          <w:p>
            <w:pPr>
              <w:widowControl/>
              <w:snapToGrid w:val="0"/>
              <w:ind w:left="28" w:hanging="26"/>
              <w:jc w:val="center"/>
              <w:rPr>
                <w:rFonts w:ascii="Times New Roman" w:hAnsi="Times New Roman"/>
                <w:szCs w:val="21"/>
              </w:rPr>
            </w:pPr>
            <w:r>
              <w:rPr>
                <w:rFonts w:ascii="Times New Roman" w:hAnsi="Times New Roman" w:cs="仿宋_GB2312"/>
                <w:kern w:val="0"/>
                <w:szCs w:val="21"/>
                <w:lang w:bidi="ar"/>
              </w:rPr>
              <w:t>镉及其化合物</w:t>
            </w:r>
          </w:p>
        </w:tc>
        <w:tc>
          <w:tcPr>
            <w:tcW w:w="3013" w:type="dxa"/>
            <w:tcMar>
              <w:top w:w="15" w:type="dxa"/>
              <w:left w:w="15" w:type="dxa"/>
              <w:bottom w:w="15" w:type="dxa"/>
              <w:right w:w="15" w:type="dxa"/>
            </w:tcMar>
            <w:vAlign w:val="center"/>
          </w:tcPr>
          <w:p>
            <w:pPr>
              <w:widowControl/>
              <w:snapToGrid w:val="0"/>
              <w:ind w:left="28" w:hanging="28"/>
              <w:jc w:val="center"/>
              <w:rPr>
                <w:rFonts w:ascii="Times New Roman" w:hAnsi="Times New Roman"/>
                <w:szCs w:val="21"/>
              </w:rPr>
            </w:pPr>
            <w:r>
              <w:rPr>
                <w:rFonts w:hint="eastAsia" w:ascii="Times New Roman" w:hAnsi="Times New Roman" w:cs="微软雅黑"/>
                <w:kern w:val="0"/>
                <w:szCs w:val="21"/>
                <w:lang w:bidi="ar"/>
              </w:rPr>
              <w:t>cadmium and compounds</w:t>
            </w:r>
          </w:p>
        </w:tc>
        <w:tc>
          <w:tcPr>
            <w:tcW w:w="1177" w:type="dxa"/>
            <w:tcMar>
              <w:top w:w="15" w:type="dxa"/>
              <w:left w:w="15" w:type="dxa"/>
              <w:bottom w:w="15" w:type="dxa"/>
              <w:right w:w="15" w:type="dxa"/>
            </w:tcMar>
            <w:vAlign w:val="center"/>
          </w:tcPr>
          <w:p>
            <w:pPr>
              <w:widowControl/>
              <w:snapToGrid w:val="0"/>
              <w:ind w:right="-232"/>
              <w:jc w:val="center"/>
              <w:rPr>
                <w:rFonts w:ascii="Times New Roman" w:hAnsi="Times New Roman"/>
                <w:szCs w:val="21"/>
              </w:rPr>
            </w:pPr>
            <w:r>
              <w:rPr>
                <w:rFonts w:hint="eastAsia" w:ascii="Times New Roman" w:hAnsi="Times New Roman" w:cs="微软雅黑"/>
                <w:kern w:val="0"/>
                <w:szCs w:val="21"/>
                <w:lang w:bidi="ar"/>
              </w:rPr>
              <w:t>-</w:t>
            </w:r>
          </w:p>
        </w:tc>
        <w:tc>
          <w:tcPr>
            <w:tcW w:w="1441" w:type="dxa"/>
            <w:tcMar>
              <w:top w:w="15" w:type="dxa"/>
              <w:left w:w="15" w:type="dxa"/>
              <w:bottom w:w="15" w:type="dxa"/>
              <w:right w:w="15" w:type="dxa"/>
            </w:tcMar>
            <w:vAlign w:val="center"/>
          </w:tcPr>
          <w:p>
            <w:pPr>
              <w:widowControl/>
              <w:snapToGrid w:val="0"/>
              <w:ind w:left="-113" w:right="-135"/>
              <w:jc w:val="center"/>
              <w:rPr>
                <w:rFonts w:ascii="Times New Roman" w:hAnsi="Times New Roman"/>
                <w:szCs w:val="21"/>
              </w:rPr>
            </w:pPr>
            <w:r>
              <w:rPr>
                <w:rFonts w:hint="eastAsia" w:ascii="Times New Roman" w:hAnsi="Times New Roman" w:cs="微软雅黑"/>
                <w:kern w:val="0"/>
                <w:szCs w:val="21"/>
                <w:lang w:bidi="ar"/>
              </w:rPr>
              <w:t>0.01</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0" w:type="dxa"/>
            <w:bottom w:w="0" w:type="dxa"/>
            <w:right w:w="0" w:type="dxa"/>
          </w:tblCellMar>
        </w:tblPrEx>
        <w:trPr>
          <w:trHeight w:val="737" w:hRule="atLeast"/>
          <w:jc w:val="center"/>
        </w:trPr>
        <w:tc>
          <w:tcPr>
            <w:tcW w:w="2416" w:type="dxa"/>
            <w:tcMar>
              <w:top w:w="15" w:type="dxa"/>
              <w:left w:w="15" w:type="dxa"/>
              <w:bottom w:w="15" w:type="dxa"/>
              <w:right w:w="15" w:type="dxa"/>
            </w:tcMar>
            <w:vAlign w:val="center"/>
          </w:tcPr>
          <w:p>
            <w:pPr>
              <w:widowControl/>
              <w:snapToGrid w:val="0"/>
              <w:ind w:left="28" w:hanging="26"/>
              <w:jc w:val="center"/>
              <w:rPr>
                <w:rFonts w:ascii="Times New Roman" w:hAnsi="Times New Roman"/>
                <w:szCs w:val="21"/>
              </w:rPr>
            </w:pPr>
            <w:r>
              <w:rPr>
                <w:rFonts w:ascii="Times New Roman" w:hAnsi="Times New Roman" w:cs="仿宋_GB2312"/>
                <w:kern w:val="0"/>
                <w:szCs w:val="21"/>
                <w:lang w:bidi="ar"/>
              </w:rPr>
              <w:t>石棉总尘</w:t>
            </w:r>
            <w:r>
              <w:rPr>
                <w:rFonts w:hint="eastAsia" w:ascii="Times New Roman" w:hAnsi="Times New Roman" w:cs="微软雅黑"/>
                <w:kern w:val="0"/>
                <w:szCs w:val="21"/>
                <w:lang w:bidi="ar"/>
              </w:rPr>
              <w:t>/</w:t>
            </w:r>
            <w:r>
              <w:rPr>
                <w:rFonts w:ascii="Times New Roman" w:hAnsi="Times New Roman" w:cs="仿宋_GB2312"/>
                <w:kern w:val="0"/>
                <w:szCs w:val="21"/>
                <w:lang w:bidi="ar"/>
              </w:rPr>
              <w:t>纤维</w:t>
            </w:r>
          </w:p>
        </w:tc>
        <w:tc>
          <w:tcPr>
            <w:tcW w:w="3013" w:type="dxa"/>
            <w:tcMar>
              <w:top w:w="15" w:type="dxa"/>
              <w:left w:w="15" w:type="dxa"/>
              <w:bottom w:w="15" w:type="dxa"/>
              <w:right w:w="15" w:type="dxa"/>
            </w:tcMar>
            <w:vAlign w:val="center"/>
          </w:tcPr>
          <w:p>
            <w:pPr>
              <w:widowControl/>
              <w:snapToGrid w:val="0"/>
              <w:ind w:left="28" w:hanging="28"/>
              <w:jc w:val="center"/>
              <w:rPr>
                <w:rFonts w:ascii="Times New Roman" w:hAnsi="Times New Roman"/>
                <w:szCs w:val="21"/>
              </w:rPr>
            </w:pPr>
            <w:r>
              <w:rPr>
                <w:rFonts w:hint="eastAsia" w:ascii="Times New Roman" w:hAnsi="Times New Roman" w:cs="微软雅黑"/>
                <w:kern w:val="0"/>
                <w:szCs w:val="21"/>
                <w:lang w:bidi="ar"/>
              </w:rPr>
              <w:t>asbestos</w:t>
            </w:r>
          </w:p>
        </w:tc>
        <w:tc>
          <w:tcPr>
            <w:tcW w:w="1177" w:type="dxa"/>
            <w:tcMar>
              <w:top w:w="15" w:type="dxa"/>
              <w:left w:w="15" w:type="dxa"/>
              <w:bottom w:w="15" w:type="dxa"/>
              <w:right w:w="15" w:type="dxa"/>
            </w:tcMar>
            <w:vAlign w:val="center"/>
          </w:tcPr>
          <w:p>
            <w:pPr>
              <w:widowControl/>
              <w:snapToGrid w:val="0"/>
              <w:ind w:right="-232"/>
              <w:jc w:val="center"/>
              <w:rPr>
                <w:rFonts w:ascii="Times New Roman" w:hAnsi="Times New Roman"/>
                <w:szCs w:val="21"/>
              </w:rPr>
            </w:pPr>
            <w:r>
              <w:rPr>
                <w:rFonts w:hint="eastAsia" w:ascii="Times New Roman" w:hAnsi="Times New Roman" w:cs="微软雅黑"/>
                <w:kern w:val="0"/>
                <w:szCs w:val="21"/>
                <w:lang w:bidi="ar"/>
              </w:rPr>
              <w:t>-</w:t>
            </w:r>
          </w:p>
        </w:tc>
        <w:tc>
          <w:tcPr>
            <w:tcW w:w="1441" w:type="dxa"/>
            <w:tcMar>
              <w:top w:w="15" w:type="dxa"/>
              <w:left w:w="15" w:type="dxa"/>
              <w:bottom w:w="15" w:type="dxa"/>
              <w:right w:w="15" w:type="dxa"/>
            </w:tcMar>
            <w:vAlign w:val="center"/>
          </w:tcPr>
          <w:p>
            <w:pPr>
              <w:widowControl/>
              <w:snapToGrid w:val="0"/>
              <w:ind w:left="-113" w:right="-135"/>
              <w:jc w:val="center"/>
              <w:rPr>
                <w:rFonts w:ascii="Times New Roman" w:hAnsi="Times New Roman"/>
                <w:szCs w:val="21"/>
              </w:rPr>
            </w:pPr>
            <w:r>
              <w:rPr>
                <w:rFonts w:hint="eastAsia" w:ascii="Times New Roman" w:hAnsi="Times New Roman" w:cs="微软雅黑"/>
                <w:kern w:val="0"/>
                <w:szCs w:val="21"/>
                <w:lang w:bidi="ar"/>
              </w:rPr>
              <w:t>0.8  </w:t>
            </w:r>
          </w:p>
          <w:p>
            <w:pPr>
              <w:widowControl/>
              <w:snapToGrid w:val="0"/>
              <w:ind w:left="-113" w:right="-135"/>
              <w:jc w:val="center"/>
              <w:rPr>
                <w:rFonts w:ascii="Times New Roman" w:hAnsi="Times New Roman"/>
                <w:szCs w:val="21"/>
              </w:rPr>
            </w:pPr>
            <w:r>
              <w:rPr>
                <w:rFonts w:hint="eastAsia" w:ascii="Times New Roman" w:hAnsi="Times New Roman" w:cs="微软雅黑"/>
                <w:kern w:val="0"/>
                <w:szCs w:val="21"/>
                <w:lang w:bidi="ar"/>
              </w:rPr>
              <w:t> 0.8f/ml</w:t>
            </w:r>
          </w:p>
        </w:tc>
      </w:tr>
    </w:tbl>
    <w:p>
      <w:pPr>
        <w:widowControl/>
        <w:spacing w:line="450" w:lineRule="atLeast"/>
        <w:jc w:val="left"/>
        <w:rPr>
          <w:rFonts w:cs="宋体"/>
          <w:color w:val="000000"/>
          <w:sz w:val="24"/>
        </w:rPr>
      </w:pPr>
      <w:r>
        <w:rPr>
          <w:rFonts w:eastAsia="方正仿宋_GBK" w:cs="方正仿宋_GBK"/>
          <w:color w:val="000000"/>
          <w:kern w:val="0"/>
          <w:sz w:val="24"/>
          <w:lang w:bidi="ar"/>
        </w:rPr>
        <w:t>                                                                                  </w:t>
      </w:r>
    </w:p>
    <w:p>
      <w:pPr>
        <w:pageBreakBefore/>
        <w:widowControl/>
        <w:spacing w:line="360" w:lineRule="auto"/>
        <w:jc w:val="center"/>
        <w:outlineLvl w:val="0"/>
        <w:rPr>
          <w:rFonts w:eastAsia="方正仿宋_GBK"/>
          <w:b/>
          <w:sz w:val="24"/>
        </w:rPr>
      </w:pPr>
      <w:bookmarkStart w:id="88" w:name="_Toc101823028"/>
      <w:bookmarkStart w:id="89" w:name="_Toc94050281"/>
      <w:r>
        <w:rPr>
          <w:rFonts w:ascii="Times New Roman" w:hAnsi="Times New Roman"/>
          <w:b/>
          <w:bCs/>
          <w:kern w:val="0"/>
          <w:sz w:val="28"/>
          <w:szCs w:val="28"/>
        </w:rPr>
        <w:t>附录</w:t>
      </w:r>
      <w:r>
        <w:rPr>
          <w:rFonts w:hint="eastAsia" w:ascii="Times New Roman" w:hAnsi="Times New Roman"/>
          <w:b/>
          <w:bCs/>
          <w:kern w:val="0"/>
          <w:sz w:val="28"/>
          <w:szCs w:val="28"/>
        </w:rPr>
        <w:t>F</w:t>
      </w:r>
      <w:r>
        <w:rPr>
          <w:rFonts w:ascii="Times New Roman" w:hAnsi="Times New Roman"/>
          <w:b/>
          <w:bCs/>
          <w:kern w:val="0"/>
          <w:sz w:val="28"/>
          <w:szCs w:val="28"/>
        </w:rPr>
        <w:t xml:space="preserve"> </w:t>
      </w:r>
      <w:r>
        <w:rPr>
          <w:rFonts w:hint="eastAsia" w:ascii="Times New Roman" w:hAnsi="Times New Roman"/>
          <w:b/>
          <w:bCs/>
          <w:kern w:val="0"/>
          <w:sz w:val="28"/>
          <w:szCs w:val="28"/>
        </w:rPr>
        <w:t>职业接触水平及其分类控制措施（推荐）</w:t>
      </w:r>
      <w:bookmarkEnd w:id="88"/>
      <w:bookmarkEnd w:id="89"/>
    </w:p>
    <w:tbl>
      <w:tblPr>
        <w:tblStyle w:val="21"/>
        <w:tblW w:w="0" w:type="auto"/>
        <w:jc w:val="center"/>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auto" w:sz="4" w:space="0"/>
          <w:insideV w:val="single" w:color="000000" w:themeColor="text1" w:sz="4" w:space="0"/>
        </w:tblBorders>
        <w:tblLayout w:type="autofit"/>
        <w:tblCellMar>
          <w:top w:w="0" w:type="dxa"/>
          <w:left w:w="108" w:type="dxa"/>
          <w:bottom w:w="0" w:type="dxa"/>
          <w:right w:w="108" w:type="dxa"/>
        </w:tblCellMar>
      </w:tblPr>
      <w:tblGrid>
        <w:gridCol w:w="2473"/>
        <w:gridCol w:w="2439"/>
        <w:gridCol w:w="3610"/>
      </w:tblGrid>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auto" w:sz="4" w:space="0"/>
            <w:insideV w:val="single" w:color="000000" w:themeColor="text1" w:sz="4" w:space="0"/>
          </w:tblBorders>
          <w:tblCellMar>
            <w:top w:w="0" w:type="dxa"/>
            <w:left w:w="108" w:type="dxa"/>
            <w:bottom w:w="0" w:type="dxa"/>
            <w:right w:w="108" w:type="dxa"/>
          </w:tblCellMar>
        </w:tblPrEx>
        <w:trPr>
          <w:trHeight w:val="317" w:hRule="atLeast"/>
          <w:jc w:val="center"/>
        </w:trPr>
        <w:tc>
          <w:tcPr>
            <w:tcW w:w="2624"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接触等级</w:t>
            </w:r>
          </w:p>
        </w:tc>
        <w:tc>
          <w:tcPr>
            <w:tcW w:w="2611"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等级描述</w:t>
            </w:r>
          </w:p>
        </w:tc>
        <w:tc>
          <w:tcPr>
            <w:tcW w:w="3904"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推荐的控制措施</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auto" w:sz="4" w:space="0"/>
            <w:insideV w:val="single" w:color="000000" w:themeColor="text1" w:sz="4" w:space="0"/>
          </w:tblBorders>
          <w:tblCellMar>
            <w:top w:w="0" w:type="dxa"/>
            <w:left w:w="108" w:type="dxa"/>
            <w:bottom w:w="0" w:type="dxa"/>
            <w:right w:w="108" w:type="dxa"/>
          </w:tblCellMar>
        </w:tblPrEx>
        <w:trPr>
          <w:trHeight w:val="317" w:hRule="atLeast"/>
          <w:jc w:val="center"/>
        </w:trPr>
        <w:tc>
          <w:tcPr>
            <w:tcW w:w="2624"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0（≤1% OEL）</w:t>
            </w:r>
          </w:p>
        </w:tc>
        <w:tc>
          <w:tcPr>
            <w:tcW w:w="2611"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无接触</w:t>
            </w:r>
          </w:p>
        </w:tc>
        <w:tc>
          <w:tcPr>
            <w:tcW w:w="3904"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不需采取行动</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auto" w:sz="4" w:space="0"/>
            <w:insideV w:val="single" w:color="000000" w:themeColor="text1" w:sz="4" w:space="0"/>
          </w:tblBorders>
          <w:tblCellMar>
            <w:top w:w="0" w:type="dxa"/>
            <w:left w:w="108" w:type="dxa"/>
            <w:bottom w:w="0" w:type="dxa"/>
            <w:right w:w="108" w:type="dxa"/>
          </w:tblCellMar>
        </w:tblPrEx>
        <w:trPr>
          <w:trHeight w:val="623" w:hRule="atLeast"/>
          <w:jc w:val="center"/>
        </w:trPr>
        <w:tc>
          <w:tcPr>
            <w:tcW w:w="2624"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Ⅰ（＞1%，≤10% OEL）</w:t>
            </w:r>
          </w:p>
        </w:tc>
        <w:tc>
          <w:tcPr>
            <w:tcW w:w="2611"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接触极低，根据已有信息无相关效应</w:t>
            </w:r>
          </w:p>
        </w:tc>
        <w:tc>
          <w:tcPr>
            <w:tcW w:w="3904"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一般危害告知，如标签、SDS 等</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auto" w:sz="4" w:space="0"/>
            <w:insideV w:val="single" w:color="000000" w:themeColor="text1" w:sz="4" w:space="0"/>
          </w:tblBorders>
          <w:tblCellMar>
            <w:top w:w="0" w:type="dxa"/>
            <w:left w:w="108" w:type="dxa"/>
            <w:bottom w:w="0" w:type="dxa"/>
            <w:right w:w="108" w:type="dxa"/>
          </w:tblCellMar>
        </w:tblPrEx>
        <w:trPr>
          <w:trHeight w:val="726" w:hRule="atLeast"/>
          <w:jc w:val="center"/>
        </w:trPr>
        <w:tc>
          <w:tcPr>
            <w:tcW w:w="2624"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Ⅱ（＞10%，≤50% OEL）</w:t>
            </w:r>
          </w:p>
        </w:tc>
        <w:tc>
          <w:tcPr>
            <w:tcW w:w="2611"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有接触但无明显健康效应</w:t>
            </w:r>
          </w:p>
        </w:tc>
        <w:tc>
          <w:tcPr>
            <w:tcW w:w="3904"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一般危害告知，特殊危害告知，即针对具体因素 的危害进行告知</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auto" w:sz="4" w:space="0"/>
            <w:insideV w:val="single" w:color="000000" w:themeColor="text1" w:sz="4" w:space="0"/>
          </w:tblBorders>
          <w:tblCellMar>
            <w:top w:w="0" w:type="dxa"/>
            <w:left w:w="108" w:type="dxa"/>
            <w:bottom w:w="0" w:type="dxa"/>
            <w:right w:w="108" w:type="dxa"/>
          </w:tblCellMar>
        </w:tblPrEx>
        <w:trPr>
          <w:trHeight w:val="635" w:hRule="atLeast"/>
          <w:jc w:val="center"/>
        </w:trPr>
        <w:tc>
          <w:tcPr>
            <w:tcW w:w="2624"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Ⅲ（＞50%，≤OEL）</w:t>
            </w:r>
          </w:p>
        </w:tc>
        <w:tc>
          <w:tcPr>
            <w:tcW w:w="2611"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显著接触，需采取行动限制活动</w:t>
            </w:r>
          </w:p>
        </w:tc>
        <w:tc>
          <w:tcPr>
            <w:tcW w:w="3904"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一般危害告知、特殊危害告知、职业卫生监测、 职业健康监护、作业管理</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auto" w:sz="4" w:space="0"/>
            <w:insideV w:val="single" w:color="000000" w:themeColor="text1" w:sz="4" w:space="0"/>
          </w:tblBorders>
          <w:tblCellMar>
            <w:top w:w="0" w:type="dxa"/>
            <w:left w:w="108" w:type="dxa"/>
            <w:bottom w:w="0" w:type="dxa"/>
            <w:right w:w="108" w:type="dxa"/>
          </w:tblCellMar>
        </w:tblPrEx>
        <w:trPr>
          <w:trHeight w:val="1133" w:hRule="atLeast"/>
          <w:jc w:val="center"/>
        </w:trPr>
        <w:tc>
          <w:tcPr>
            <w:tcW w:w="2624"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Ⅳ（＞OEL）</w:t>
            </w:r>
          </w:p>
        </w:tc>
        <w:tc>
          <w:tcPr>
            <w:tcW w:w="2611"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超过 OELs</w:t>
            </w:r>
          </w:p>
        </w:tc>
        <w:tc>
          <w:tcPr>
            <w:tcW w:w="3904" w:type="dxa"/>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一般危害告知、特殊危害告知、职业卫生监测、 职业健康监护、作业管理、个体防护用品和工程、 工艺控制</w:t>
            </w:r>
          </w:p>
        </w:tc>
      </w:tr>
      <w:tr>
        <w:tblPrEx>
          <w:tblBorders>
            <w:top w:val="single" w:color="000000" w:themeColor="text1" w:sz="8" w:space="0"/>
            <w:left w:val="single" w:color="000000" w:themeColor="text1" w:sz="8" w:space="0"/>
            <w:bottom w:val="single" w:color="000000" w:themeColor="text1" w:sz="8" w:space="0"/>
            <w:right w:val="single" w:color="000000" w:themeColor="text1" w:sz="8" w:space="0"/>
            <w:insideH w:val="single" w:color="auto" w:sz="4" w:space="0"/>
            <w:insideV w:val="single" w:color="000000" w:themeColor="text1" w:sz="4" w:space="0"/>
          </w:tblBorders>
          <w:tblCellMar>
            <w:top w:w="0" w:type="dxa"/>
            <w:left w:w="108" w:type="dxa"/>
            <w:bottom w:w="0" w:type="dxa"/>
            <w:right w:w="108" w:type="dxa"/>
          </w:tblCellMar>
        </w:tblPrEx>
        <w:trPr>
          <w:trHeight w:val="939" w:hRule="atLeast"/>
          <w:jc w:val="center"/>
        </w:trPr>
        <w:tc>
          <w:tcPr>
            <w:tcW w:w="9139" w:type="dxa"/>
            <w:gridSpan w:val="3"/>
            <w:vAlign w:val="center"/>
          </w:tcPr>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注：</w:t>
            </w:r>
          </w:p>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1.OEL：职业接触限值，参见GBZ2.1。</w:t>
            </w:r>
          </w:p>
          <w:p>
            <w:pPr>
              <w:pStyle w:val="36"/>
              <w:snapToGrid w:val="0"/>
              <w:ind w:firstLine="0" w:firstLineChars="0"/>
              <w:jc w:val="center"/>
              <w:rPr>
                <w:rFonts w:ascii="Times New Roman" w:hAnsi="Times New Roman" w:cs="Times New Roman" w:eastAsiaTheme="minorEastAsia"/>
                <w:szCs w:val="21"/>
              </w:rPr>
            </w:pPr>
            <w:r>
              <w:rPr>
                <w:rFonts w:ascii="Times New Roman" w:hAnsi="Times New Roman" w:cs="Times New Roman" w:eastAsiaTheme="minorEastAsia"/>
                <w:szCs w:val="21"/>
              </w:rPr>
              <w:t>2.作业管理包括对作业方法、作业时间等制定作业标准，使其标准化；改善作业方法；对作业人员进行指导培 训以及改善作业条件或工作场所环境等。</w:t>
            </w:r>
          </w:p>
        </w:tc>
      </w:tr>
    </w:tbl>
    <w:p>
      <w:pPr>
        <w:pStyle w:val="36"/>
        <w:ind w:firstLine="480"/>
        <w:rPr>
          <w:rFonts w:ascii="Times New Roman" w:eastAsia="宋体" w:cs="宋体"/>
          <w:sz w:val="24"/>
          <w:szCs w:val="24"/>
        </w:rPr>
      </w:pPr>
    </w:p>
    <w:p>
      <w:pPr>
        <w:pStyle w:val="36"/>
        <w:ind w:firstLine="480"/>
        <w:rPr>
          <w:rFonts w:ascii="Times New Roman" w:eastAsia="宋体" w:cs="宋体"/>
          <w:sz w:val="24"/>
          <w:szCs w:val="24"/>
        </w:rPr>
      </w:pPr>
    </w:p>
    <w:p>
      <w:pPr>
        <w:pStyle w:val="36"/>
        <w:ind w:firstLine="480"/>
        <w:rPr>
          <w:rFonts w:ascii="Times New Roman" w:eastAsia="宋体" w:cs="宋体"/>
          <w:sz w:val="24"/>
          <w:szCs w:val="24"/>
        </w:rPr>
      </w:pPr>
    </w:p>
    <w:p>
      <w:pPr>
        <w:pStyle w:val="36"/>
        <w:ind w:firstLine="480"/>
        <w:rPr>
          <w:rFonts w:ascii="Times New Roman" w:eastAsia="方正仿宋_GBK"/>
        </w:rPr>
      </w:pPr>
      <w:r>
        <w:rPr>
          <w:rFonts w:ascii="Times New Roman" w:eastAsia="宋体" w:cs="宋体"/>
          <w:sz w:val="24"/>
          <w:szCs w:val="24"/>
        </w:rPr>
        <w:t xml:space="preserve">                 </w:t>
      </w:r>
    </w:p>
    <w:bookmarkEnd w:id="80"/>
    <w:bookmarkEnd w:id="81"/>
    <w:bookmarkEnd w:id="82"/>
    <w:bookmarkEnd w:id="83"/>
    <w:p>
      <w:pPr>
        <w:keepNext w:val="0"/>
        <w:keepLines w:val="0"/>
        <w:pageBreakBefore/>
        <w:widowControl/>
        <w:kinsoku/>
        <w:wordWrap/>
        <w:overflowPunct/>
        <w:topLinePunct w:val="0"/>
        <w:autoSpaceDE/>
        <w:autoSpaceDN/>
        <w:bidi w:val="0"/>
        <w:adjustRightInd/>
        <w:snapToGrid w:val="0"/>
        <w:spacing w:before="312" w:beforeLines="100" w:after="312" w:afterLines="100" w:line="240" w:lineRule="auto"/>
        <w:jc w:val="center"/>
        <w:textAlignment w:val="auto"/>
        <w:outlineLvl w:val="0"/>
        <w:rPr>
          <w:rFonts w:hint="eastAsia" w:ascii="宋体" w:hAnsi="宋体" w:eastAsia="宋体" w:cs="宋体"/>
          <w:b/>
          <w:bCs/>
          <w:color w:val="000000"/>
          <w:kern w:val="0"/>
          <w:sz w:val="28"/>
          <w:szCs w:val="28"/>
        </w:rPr>
      </w:pPr>
      <w:bookmarkStart w:id="90" w:name="_Toc447714284"/>
      <w:bookmarkStart w:id="91" w:name="_Toc456606903"/>
      <w:bookmarkStart w:id="92" w:name="_Toc459328585"/>
      <w:bookmarkStart w:id="93" w:name="_Toc26410"/>
      <w:bookmarkStart w:id="94" w:name="_Toc462526196"/>
      <w:bookmarkStart w:id="95" w:name="_Toc94050283"/>
      <w:bookmarkStart w:id="96" w:name="_Toc462526144"/>
      <w:bookmarkStart w:id="97" w:name="_Toc459328642"/>
      <w:bookmarkStart w:id="98" w:name="_Toc101823029"/>
      <w:bookmarkStart w:id="99" w:name="_Toc18691"/>
      <w:bookmarkStart w:id="100" w:name="_Toc438614473"/>
      <w:bookmarkStart w:id="101" w:name="_Toc489189302"/>
      <w:bookmarkStart w:id="102" w:name="_Toc26514"/>
      <w:bookmarkStart w:id="103" w:name="_Toc19592"/>
      <w:r>
        <w:rPr>
          <w:rFonts w:hint="eastAsia" w:ascii="宋体" w:hAnsi="宋体" w:eastAsia="宋体" w:cs="宋体"/>
          <w:b/>
          <w:bCs/>
          <w:color w:val="000000"/>
          <w:kern w:val="0"/>
          <w:sz w:val="28"/>
          <w:szCs w:val="28"/>
        </w:rPr>
        <w:t>本标准用词说明</w:t>
      </w:r>
      <w:bookmarkEnd w:id="90"/>
      <w:bookmarkEnd w:id="91"/>
      <w:bookmarkEnd w:id="92"/>
      <w:bookmarkEnd w:id="93"/>
      <w:bookmarkEnd w:id="94"/>
      <w:bookmarkEnd w:id="95"/>
      <w:bookmarkEnd w:id="96"/>
      <w:bookmarkEnd w:id="97"/>
      <w:bookmarkEnd w:id="98"/>
    </w:p>
    <w:p>
      <w:pPr>
        <w:pStyle w:val="40"/>
        <w:rPr>
          <w:rFonts w:ascii="Times New Roman" w:hAnsi="Times New Roman"/>
        </w:rPr>
      </w:pPr>
      <w:r>
        <w:rPr>
          <w:rFonts w:ascii="Times New Roman" w:hAnsi="Times New Roman"/>
        </w:rPr>
        <w:t>1</w:t>
      </w:r>
      <w:r>
        <w:rPr>
          <w:rFonts w:hint="eastAsia" w:ascii="Times New Roman" w:hAnsi="Times New Roman"/>
          <w:lang w:val="en-US" w:eastAsia="zh-CN"/>
        </w:rPr>
        <w:t xml:space="preserve">  </w:t>
      </w:r>
      <w:r>
        <w:rPr>
          <w:rFonts w:ascii="Times New Roman" w:hAnsi="Times New Roman"/>
        </w:rPr>
        <w:t>为了便于在执行本标准条文时区别对待，对要求严格程度不同的用词说明如下：</w:t>
      </w:r>
    </w:p>
    <w:p>
      <w:pPr>
        <w:pStyle w:val="40"/>
        <w:ind w:firstLine="480" w:firstLineChars="200"/>
        <w:rPr>
          <w:rFonts w:ascii="Times New Roman" w:hAnsi="Times New Roman"/>
        </w:rPr>
      </w:pPr>
      <w:r>
        <w:rPr>
          <w:rFonts w:ascii="Times New Roman" w:hAnsi="Times New Roman"/>
        </w:rPr>
        <w:t>1）表示很严格，非这样做不可的：</w:t>
      </w:r>
    </w:p>
    <w:p>
      <w:pPr>
        <w:pStyle w:val="40"/>
        <w:ind w:firstLine="480" w:firstLineChars="200"/>
        <w:rPr>
          <w:rFonts w:ascii="Times New Roman" w:hAnsi="Times New Roman"/>
        </w:rPr>
      </w:pPr>
      <w:r>
        <w:rPr>
          <w:rFonts w:ascii="Times New Roman" w:hAnsi="Times New Roman"/>
        </w:rPr>
        <w:t>正面词采用“必须”，反面词采用“严禁”；</w:t>
      </w:r>
    </w:p>
    <w:p>
      <w:pPr>
        <w:pStyle w:val="40"/>
        <w:ind w:firstLine="480" w:firstLineChars="200"/>
        <w:rPr>
          <w:rFonts w:ascii="Times New Roman" w:hAnsi="Times New Roman"/>
        </w:rPr>
      </w:pPr>
      <w:r>
        <w:rPr>
          <w:rFonts w:ascii="Times New Roman" w:hAnsi="Times New Roman"/>
        </w:rPr>
        <w:t>2）表示严格，在正常情况下均应这样做的：</w:t>
      </w:r>
    </w:p>
    <w:p>
      <w:pPr>
        <w:pStyle w:val="40"/>
        <w:ind w:firstLine="480" w:firstLineChars="200"/>
        <w:rPr>
          <w:rFonts w:ascii="Times New Roman" w:hAnsi="Times New Roman"/>
        </w:rPr>
      </w:pPr>
      <w:r>
        <w:rPr>
          <w:rFonts w:ascii="Times New Roman" w:hAnsi="Times New Roman"/>
        </w:rPr>
        <w:t>正面词采用“应”，反面词采用“不应”或“不得”；</w:t>
      </w:r>
    </w:p>
    <w:p>
      <w:pPr>
        <w:pStyle w:val="40"/>
        <w:ind w:firstLine="480" w:firstLineChars="200"/>
        <w:rPr>
          <w:rFonts w:ascii="Times New Roman" w:hAnsi="Times New Roman"/>
        </w:rPr>
      </w:pPr>
      <w:r>
        <w:rPr>
          <w:rFonts w:ascii="Times New Roman" w:hAnsi="Times New Roman"/>
        </w:rPr>
        <w:t>3）表示允许稍有选择，在条件许可时首先应这样做的：</w:t>
      </w:r>
    </w:p>
    <w:p>
      <w:pPr>
        <w:pStyle w:val="40"/>
        <w:ind w:firstLine="480" w:firstLineChars="200"/>
        <w:rPr>
          <w:rFonts w:ascii="Times New Roman" w:hAnsi="Times New Roman"/>
        </w:rPr>
      </w:pPr>
      <w:r>
        <w:rPr>
          <w:rFonts w:ascii="Times New Roman" w:hAnsi="Times New Roman"/>
        </w:rPr>
        <w:t>正面词采用“宜”，反面词采用“不宜”；</w:t>
      </w:r>
    </w:p>
    <w:p>
      <w:pPr>
        <w:pStyle w:val="40"/>
        <w:ind w:firstLine="480" w:firstLineChars="200"/>
        <w:rPr>
          <w:rFonts w:ascii="Times New Roman" w:hAnsi="Times New Roman"/>
        </w:rPr>
      </w:pPr>
      <w:r>
        <w:rPr>
          <w:rFonts w:ascii="Times New Roman" w:hAnsi="Times New Roman"/>
        </w:rPr>
        <w:t>4）表示有选择，在一定条件下可以这样做的：采用“可”。</w:t>
      </w:r>
    </w:p>
    <w:p>
      <w:pPr>
        <w:pStyle w:val="40"/>
        <w:rPr>
          <w:rFonts w:ascii="Times New Roman" w:hAnsi="Times New Roman"/>
        </w:rPr>
      </w:pPr>
      <w:r>
        <w:rPr>
          <w:rFonts w:ascii="Times New Roman" w:hAnsi="Times New Roman"/>
        </w:rPr>
        <w:t>2</w:t>
      </w:r>
      <w:r>
        <w:rPr>
          <w:rFonts w:hint="eastAsia" w:ascii="Times New Roman" w:hAnsi="Times New Roman"/>
          <w:lang w:val="en-US" w:eastAsia="zh-CN"/>
        </w:rPr>
        <w:t xml:space="preserve">  </w:t>
      </w:r>
      <w:r>
        <w:rPr>
          <w:rFonts w:ascii="Times New Roman" w:hAnsi="Times New Roman"/>
        </w:rPr>
        <w:t>标准中指明应按其他有关标准执行时，写法为：“应符合……的规定（或要求）”或“应按……执行”</w:t>
      </w:r>
    </w:p>
    <w:p>
      <w:pPr>
        <w:keepNext w:val="0"/>
        <w:keepLines w:val="0"/>
        <w:pageBreakBefore/>
        <w:widowControl/>
        <w:kinsoku/>
        <w:wordWrap/>
        <w:overflowPunct/>
        <w:topLinePunct w:val="0"/>
        <w:autoSpaceDE/>
        <w:autoSpaceDN/>
        <w:bidi w:val="0"/>
        <w:adjustRightInd/>
        <w:snapToGrid w:val="0"/>
        <w:spacing w:before="312" w:beforeLines="100" w:after="312" w:afterLines="100" w:line="240" w:lineRule="auto"/>
        <w:jc w:val="center"/>
        <w:textAlignment w:val="auto"/>
        <w:outlineLvl w:val="0"/>
        <w:rPr>
          <w:rFonts w:hint="eastAsia" w:ascii="宋体" w:hAnsi="宋体" w:eastAsia="宋体" w:cs="宋体"/>
          <w:b/>
          <w:bCs/>
          <w:color w:val="000000"/>
          <w:kern w:val="0"/>
          <w:sz w:val="28"/>
          <w:szCs w:val="28"/>
        </w:rPr>
      </w:pPr>
      <w:bookmarkStart w:id="104" w:name="_Toc15023"/>
      <w:bookmarkStart w:id="105" w:name="_Toc101823030"/>
      <w:bookmarkStart w:id="106" w:name="_Toc94050284"/>
      <w:r>
        <w:rPr>
          <w:rFonts w:hint="eastAsia" w:ascii="宋体" w:hAnsi="宋体" w:eastAsia="宋体" w:cs="宋体"/>
          <w:b/>
          <w:bCs/>
          <w:color w:val="000000"/>
          <w:kern w:val="0"/>
          <w:sz w:val="28"/>
          <w:szCs w:val="28"/>
        </w:rPr>
        <w:t>引用标准名录</w:t>
      </w:r>
      <w:bookmarkEnd w:id="104"/>
      <w:bookmarkEnd w:id="105"/>
      <w:bookmarkEnd w:id="106"/>
    </w:p>
    <w:bookmarkEnd w:id="99"/>
    <w:bookmarkEnd w:id="100"/>
    <w:bookmarkEnd w:id="101"/>
    <w:bookmarkEnd w:id="102"/>
    <w:bookmarkEnd w:id="103"/>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《建设项目职业病防护设施“三同时”监督管理办法》</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《工业企业设计卫生标准》GBZ 1</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《工作场所有害因素职业接触限值 第l部分：化学有害因素》GBZ 2.1</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《工作场所有害因素职业接触限值 第2部分：物理因素》GBZ 2.2</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《工作场所职业病危害警示标识》GBZ l58</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《职业健康监护技术规范》GBZ l88</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《石棉作业职业卫生管理规范》GBZ/T l93</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《使用人造矿物纤维绝热棉职业病危害防护规程》GBZ/T l98</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《高毒物品作业岗位职业病危害告知规范》GBZ/T203</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《密闭空间作业职业病危害防护规范》GBZ/T 205</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《建筑行业职业病危害预防控制规范》GBZ/T 211</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《工作场所职业病危害作业分级》GBZ/T 229</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《高处作业分级》GB/T 3608</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《个体防护装备选用规范》</w:t>
      </w:r>
      <w:r>
        <w:rPr>
          <w:rFonts w:ascii="Times New Roman" w:hAnsi="Times New Roman"/>
          <w:szCs w:val="21"/>
        </w:rPr>
        <w:t>GB/T 11651</w:t>
      </w:r>
    </w:p>
    <w:p>
      <w:pPr>
        <w:pStyle w:val="32"/>
        <w:numPr>
          <w:ilvl w:val="0"/>
          <w:numId w:val="13"/>
        </w:numPr>
        <w:tabs>
          <w:tab w:val="left" w:pos="839"/>
        </w:tabs>
        <w:adjustRightInd w:val="0"/>
        <w:spacing w:line="480" w:lineRule="exact"/>
        <w:ind w:firstLineChars="0"/>
        <w:rPr>
          <w:rFonts w:ascii="Times New Roman" w:hAnsi="Times New Roman"/>
          <w:szCs w:val="21"/>
        </w:rPr>
      </w:pPr>
      <w:bookmarkStart w:id="107" w:name="_Hlk101825047"/>
      <w:r>
        <w:rPr>
          <w:rFonts w:hint="eastAsia" w:ascii="Times New Roman" w:hAnsi="Times New Roman"/>
          <w:szCs w:val="21"/>
        </w:rPr>
        <w:t>《呼吸防护用品的选择、使用与维护》</w:t>
      </w:r>
      <w:bookmarkEnd w:id="107"/>
      <w:r>
        <w:rPr>
          <w:rFonts w:hint="eastAsia" w:ascii="Times New Roman" w:hAnsi="Times New Roman"/>
          <w:szCs w:val="21"/>
        </w:rPr>
        <w:t>GB/T l8664</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《职业健康安全管理体系要求》GB/T 28001</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《职业健康安全管理体系实施指南》GB/T 28002</w:t>
      </w:r>
    </w:p>
    <w:p>
      <w:pPr>
        <w:pStyle w:val="32"/>
        <w:numPr>
          <w:ilvl w:val="0"/>
          <w:numId w:val="13"/>
        </w:numPr>
        <w:tabs>
          <w:tab w:val="left" w:pos="839"/>
        </w:tabs>
        <w:adjustRightInd w:val="0"/>
        <w:spacing w:line="480" w:lineRule="exact"/>
        <w:ind w:firstLineChars="0"/>
        <w:rPr>
          <w:rFonts w:ascii="Times New Roman" w:hAnsi="Times New Roman"/>
          <w:szCs w:val="21"/>
        </w:rPr>
      </w:pPr>
      <w:bookmarkStart w:id="108" w:name="_Hlk101825123"/>
      <w:r>
        <w:rPr>
          <w:rFonts w:hint="eastAsia" w:ascii="Times New Roman" w:hAnsi="Times New Roman"/>
          <w:szCs w:val="21"/>
        </w:rPr>
        <w:t>《电离辐射防护与辐射源安全基本标准》</w:t>
      </w:r>
      <w:bookmarkEnd w:id="108"/>
      <w:r>
        <w:rPr>
          <w:rFonts w:hint="eastAsia" w:ascii="Times New Roman" w:hAnsi="Times New Roman"/>
          <w:szCs w:val="21"/>
        </w:rPr>
        <w:t>GB l8871</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《建筑施工企业职业病危害防治技术规范》AQ/T4256</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《建筑工程施工职业技能标准》JGJ/T314</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《建设工程施工现场安全防护、场容卫生、环境保护及保卫消防标准》DBJ01-83</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《建设工程通用类技术工人职业技能标准》DBJ50/T-177</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《建设工程装饰装修类技术工人职业技能标准》DBJ50/T-394</w:t>
      </w:r>
    </w:p>
    <w:p>
      <w:pPr>
        <w:pStyle w:val="32"/>
        <w:numPr>
          <w:ilvl w:val="0"/>
          <w:numId w:val="13"/>
        </w:numPr>
        <w:tabs>
          <w:tab w:val="left" w:pos="839"/>
        </w:tabs>
        <w:adjustRightInd w:val="0"/>
        <w:spacing w:line="480" w:lineRule="exact"/>
        <w:ind w:firstLineChars="0"/>
        <w:rPr>
          <w:rFonts w:ascii="Times New Roman" w:hAnsi="Times New Roman"/>
          <w:szCs w:val="21"/>
        </w:rPr>
      </w:pPr>
      <w:r>
        <w:rPr>
          <w:rFonts w:hint="eastAsia" w:ascii="Times New Roman" w:hAnsi="Times New Roman"/>
          <w:szCs w:val="21"/>
        </w:rPr>
        <w:t>《建设工程机械类技术工人职业技能标准》DBJ50/T-397</w:t>
      </w:r>
    </w:p>
    <w:p>
      <w:pPr>
        <w:spacing w:line="360" w:lineRule="auto"/>
        <w:jc w:val="center"/>
        <w:rPr>
          <w:rFonts w:ascii="Times New Roman" w:hAnsi="Times New Roman" w:eastAsia="宋体" w:cs="Times New Roman"/>
          <w:color w:val="000000"/>
          <w:kern w:val="0"/>
          <w:szCs w:val="21"/>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ascii="Times New Roman" w:hAnsi="Times New Roman" w:eastAsia="宋体" w:cs="Times New Roman"/>
          <w:color w:val="000000"/>
          <w:kern w:val="0"/>
          <w:szCs w:val="21"/>
        </w:rPr>
        <w:br w:type="page"/>
      </w:r>
    </w:p>
    <w:p>
      <w:pPr>
        <w:spacing w:line="360" w:lineRule="auto"/>
        <w:jc w:val="center"/>
        <w:rPr>
          <w:rFonts w:ascii="Times New Roman" w:hAnsi="Times New Roman" w:cs="Times New Roman"/>
          <w:color w:val="FF0000"/>
        </w:rPr>
      </w:pPr>
    </w:p>
    <w:p>
      <w:pPr>
        <w:adjustRightInd w:val="0"/>
        <w:snapToGrid w:val="0"/>
        <w:spacing w:line="360" w:lineRule="auto"/>
        <w:jc w:val="center"/>
        <w:rPr>
          <w:rFonts w:ascii="Times New Roman" w:hAnsi="Times New Roman" w:eastAsia="宋体" w:cs="Times New Roman"/>
          <w:b/>
          <w:sz w:val="28"/>
          <w:szCs w:val="28"/>
        </w:rPr>
      </w:pPr>
    </w:p>
    <w:p>
      <w:pPr>
        <w:adjustRightInd w:val="0"/>
        <w:snapToGrid w:val="0"/>
        <w:spacing w:line="360" w:lineRule="auto"/>
        <w:jc w:val="center"/>
        <w:rPr>
          <w:rFonts w:ascii="Times New Roman" w:hAnsi="Times New Roman" w:eastAsia="宋体" w:cs="Times New Roman"/>
          <w:b/>
          <w:sz w:val="28"/>
          <w:szCs w:val="28"/>
        </w:rPr>
      </w:pPr>
    </w:p>
    <w:p>
      <w:pPr>
        <w:adjustRightInd w:val="0"/>
        <w:snapToGrid w:val="0"/>
        <w:spacing w:line="360" w:lineRule="auto"/>
        <w:jc w:val="center"/>
        <w:rPr>
          <w:rFonts w:ascii="Times New Roman" w:hAnsi="Times New Roman" w:eastAsia="宋体" w:cs="Times New Roman"/>
          <w:b/>
          <w:sz w:val="28"/>
          <w:szCs w:val="28"/>
        </w:rPr>
      </w:pPr>
      <w:bookmarkStart w:id="109" w:name="条文说明"/>
      <w:bookmarkEnd w:id="109"/>
      <w:r>
        <w:rPr>
          <w:rFonts w:ascii="Times New Roman" w:hAnsi="宋体" w:eastAsia="宋体" w:cs="Times New Roman"/>
          <w:b/>
          <w:sz w:val="28"/>
          <w:szCs w:val="28"/>
        </w:rPr>
        <w:t>重庆市工程建设标准</w:t>
      </w:r>
    </w:p>
    <w:p>
      <w:pPr>
        <w:jc w:val="center"/>
        <w:rPr>
          <w:rFonts w:ascii="Times New Roman" w:hAnsi="Times New Roman" w:eastAsia="宋体" w:cs="Times New Roman"/>
          <w:b/>
          <w:sz w:val="32"/>
          <w:szCs w:val="32"/>
        </w:rPr>
      </w:pPr>
    </w:p>
    <w:p>
      <w:pPr>
        <w:jc w:val="center"/>
        <w:rPr>
          <w:rFonts w:ascii="Times New Roman" w:hAnsi="Times New Roman" w:eastAsia="宋体" w:cs="Times New Roman"/>
          <w:b/>
          <w:sz w:val="32"/>
          <w:szCs w:val="32"/>
        </w:rPr>
      </w:pPr>
    </w:p>
    <w:p>
      <w:pPr>
        <w:jc w:val="center"/>
        <w:rPr>
          <w:rFonts w:ascii="Times New Roman" w:hAnsi="Times New Roman" w:eastAsia="宋体" w:cs="Times New Roman"/>
          <w:b/>
          <w:sz w:val="32"/>
          <w:szCs w:val="32"/>
        </w:rPr>
      </w:pPr>
    </w:p>
    <w:p>
      <w:pPr>
        <w:jc w:val="center"/>
        <w:rPr>
          <w:rFonts w:ascii="Times New Roman" w:hAnsi="Times New Roman" w:eastAsia="宋体" w:cs="Times New Roman"/>
          <w:b/>
          <w:sz w:val="36"/>
          <w:szCs w:val="36"/>
        </w:rPr>
      </w:pPr>
      <w:r>
        <w:rPr>
          <w:rFonts w:hint="eastAsia" w:ascii="Times New Roman" w:hAnsi="Times New Roman" w:eastAsia="宋体" w:cs="Times New Roman"/>
          <w:b/>
          <w:sz w:val="36"/>
          <w:szCs w:val="36"/>
        </w:rPr>
        <w:t>建筑施工现场常见职业病危害防控技术标准</w:t>
      </w:r>
    </w:p>
    <w:p>
      <w:pPr>
        <w:adjustRightInd w:val="0"/>
        <w:snapToGrid w:val="0"/>
        <w:spacing w:line="360" w:lineRule="auto"/>
        <w:jc w:val="center"/>
        <w:rPr>
          <w:rFonts w:ascii="Times New Roman" w:hAnsi="Times New Roman" w:eastAsia="宋体" w:cs="Times New Roman"/>
          <w:sz w:val="24"/>
          <w:szCs w:val="24"/>
        </w:rPr>
      </w:pPr>
    </w:p>
    <w:p>
      <w:pPr>
        <w:adjustRightInd w:val="0"/>
        <w:snapToGrid w:val="0"/>
        <w:spacing w:line="360" w:lineRule="auto"/>
        <w:jc w:val="center"/>
        <w:rPr>
          <w:rFonts w:ascii="Times New Roman" w:hAnsi="Times New Roman" w:eastAsia="宋体" w:cs="Times New Roman"/>
          <w:sz w:val="24"/>
          <w:szCs w:val="24"/>
        </w:rPr>
      </w:pPr>
    </w:p>
    <w:p>
      <w:pPr>
        <w:adjustRightInd w:val="0"/>
        <w:snapToGrid w:val="0"/>
        <w:spacing w:line="360" w:lineRule="auto"/>
        <w:ind w:right="60"/>
        <w:jc w:val="center"/>
        <w:rPr>
          <w:rFonts w:ascii="Times New Roman" w:hAnsi="Times New Roman" w:eastAsia="宋体" w:cs="Times New Roman"/>
          <w:b/>
          <w:sz w:val="28"/>
          <w:szCs w:val="28"/>
        </w:rPr>
      </w:pPr>
      <w:r>
        <w:rPr>
          <w:rFonts w:ascii="Times New Roman" w:hAnsi="Times New Roman" w:eastAsia="宋体" w:cs="Times New Roman"/>
          <w:b/>
          <w:sz w:val="28"/>
          <w:szCs w:val="28"/>
        </w:rPr>
        <w:t>DBJ×××-20**</w:t>
      </w: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sz w:val="36"/>
          <w:szCs w:val="36"/>
        </w:rPr>
      </w:pPr>
      <w:r>
        <w:rPr>
          <w:rFonts w:ascii="Times New Roman" w:cs="Times New Roman"/>
          <w:sz w:val="36"/>
          <w:szCs w:val="36"/>
        </w:rPr>
        <w:t>条文说明</w:t>
      </w: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hAnsi="Times New Roman" w:cs="Times New Roman"/>
          <w:color w:val="FF0000"/>
        </w:rPr>
      </w:pPr>
    </w:p>
    <w:p>
      <w:pPr>
        <w:spacing w:line="360" w:lineRule="auto"/>
        <w:jc w:val="center"/>
        <w:rPr>
          <w:rFonts w:ascii="Times New Roman" w:cs="Times New Roman"/>
        </w:rPr>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pPr>
      <w:r>
        <w:rPr>
          <w:rFonts w:ascii="Times New Roman" w:hAnsi="Times New Roman" w:cs="Times New Roman"/>
        </w:rPr>
        <w:t xml:space="preserve">2022  </w:t>
      </w:r>
      <w:r>
        <w:rPr>
          <w:rFonts w:ascii="Times New Roman" w:cs="Times New Roman"/>
        </w:rPr>
        <w:t>重</w:t>
      </w:r>
      <w:r>
        <w:rPr>
          <w:rFonts w:ascii="Times New Roman" w:hAnsi="Times New Roman" w:cs="Times New Roman"/>
        </w:rPr>
        <w:t xml:space="preserve">  </w:t>
      </w:r>
      <w:r>
        <w:rPr>
          <w:rFonts w:ascii="Times New Roman" w:cs="Times New Roman"/>
        </w:rPr>
        <w:t>庆</w:t>
      </w:r>
    </w:p>
    <w:p>
      <w:pPr>
        <w:keepNext w:val="0"/>
        <w:keepLines w:val="0"/>
        <w:pageBreakBefore/>
        <w:widowControl/>
        <w:kinsoku/>
        <w:wordWrap/>
        <w:overflowPunct/>
        <w:topLinePunct w:val="0"/>
        <w:autoSpaceDE/>
        <w:autoSpaceDN/>
        <w:bidi w:val="0"/>
        <w:adjustRightInd/>
        <w:snapToGrid w:val="0"/>
        <w:spacing w:before="312" w:beforeLines="100" w:after="312" w:afterLines="100" w:line="240" w:lineRule="auto"/>
        <w:jc w:val="center"/>
        <w:textAlignment w:val="auto"/>
        <w:outlineLvl w:val="0"/>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1  总  则</w:t>
      </w:r>
    </w:p>
    <w:p>
      <w:pPr>
        <w:spacing w:line="360" w:lineRule="auto"/>
        <w:rPr>
          <w:rFonts w:cs="Times New Roman" w:asciiTheme="minorEastAsia" w:hAnsiTheme="minorEastAsia"/>
          <w:i/>
          <w:iCs/>
          <w:szCs w:val="21"/>
          <w:u w:val="single"/>
        </w:rPr>
      </w:pPr>
      <w:r>
        <w:rPr>
          <w:rFonts w:hint="eastAsia" w:cs="Times New Roman" w:asciiTheme="minorEastAsia" w:hAnsiTheme="minorEastAsia"/>
          <w:b/>
          <w:bCs/>
          <w:i/>
          <w:iCs/>
          <w:szCs w:val="21"/>
          <w:u w:val="single"/>
          <w:lang w:val="en-US" w:eastAsia="zh-CN"/>
        </w:rPr>
        <w:t>1.0.1</w:t>
      </w:r>
      <w:r>
        <w:rPr>
          <w:rFonts w:hint="eastAsia" w:cs="Times New Roman" w:asciiTheme="minorEastAsia" w:hAnsiTheme="minorEastAsia"/>
          <w:b/>
          <w:bCs/>
          <w:i/>
          <w:iCs/>
          <w:szCs w:val="21"/>
          <w:u w:val="single"/>
        </w:rPr>
        <w:t>条文说明：</w:t>
      </w:r>
      <w:r>
        <w:rPr>
          <w:rFonts w:hint="eastAsia" w:cs="Times New Roman" w:asciiTheme="minorEastAsia" w:hAnsiTheme="minorEastAsia"/>
          <w:i/>
          <w:iCs/>
          <w:szCs w:val="21"/>
          <w:u w:val="single"/>
        </w:rPr>
        <w:t>建筑施工行业职业病危害严重，改善作业场所的职业病危害现状对保护广大建筑施工劳动者身体健康具有重要的意义。尽管国家、地方已经颁布了两个建筑施工行业职业病防治有关的标准（GBZ/T 211和AQ/T4256），但并没有广泛应用于实际工程。本标准旨在保护建筑施工劳动者身体健康，对重庆市建筑施工行业职业病危害防控技术开展基础性研究，拟对重庆市建筑施工行业存在的常见职业病危害进行梳理和分析，加强企业对于职业病危害防治措施，进而有效提高重庆市建筑施工行业企业职业病防控整体水平。</w:t>
      </w:r>
    </w:p>
    <w:p>
      <w:pPr>
        <w:spacing w:line="360" w:lineRule="auto"/>
        <w:jc w:val="left"/>
        <w:rPr>
          <w:rFonts w:cs="Times New Roman" w:asciiTheme="minorEastAsia" w:hAnsiTheme="minorEastAsia"/>
          <w:i/>
          <w:iCs/>
          <w:szCs w:val="21"/>
          <w:u w:val="single"/>
        </w:rPr>
      </w:pPr>
      <w:r>
        <w:rPr>
          <w:rFonts w:hint="eastAsia" w:cs="Times New Roman" w:asciiTheme="minorEastAsia" w:hAnsiTheme="minorEastAsia"/>
          <w:b/>
          <w:bCs/>
          <w:i/>
          <w:iCs/>
          <w:szCs w:val="21"/>
          <w:u w:val="single"/>
          <w:lang w:val="en-US" w:eastAsia="zh-CN"/>
        </w:rPr>
        <w:t>1.0.2</w:t>
      </w:r>
      <w:r>
        <w:rPr>
          <w:rFonts w:hint="eastAsia" w:cs="Times New Roman" w:asciiTheme="minorEastAsia" w:hAnsiTheme="minorEastAsia"/>
          <w:b/>
          <w:bCs/>
          <w:i/>
          <w:iCs/>
          <w:szCs w:val="21"/>
          <w:u w:val="single"/>
        </w:rPr>
        <w:t>条文说明：</w:t>
      </w:r>
      <w:r>
        <w:rPr>
          <w:rFonts w:hint="eastAsia" w:cs="Times New Roman" w:asciiTheme="minorEastAsia" w:hAnsiTheme="minorEastAsia"/>
          <w:i/>
          <w:iCs/>
          <w:szCs w:val="21"/>
          <w:u w:val="single"/>
        </w:rPr>
        <w:t>本条规定了标准的适用范围。本标准适用于新建、改建、扩建的工业与民用建筑及市政工程含道路、桥梁、管线设施、隧道等建筑施工作业场所的常见职业病危害因素及其防控技术要点、个人防护用品选用类型、职业卫生管理有关内容。适用对象为建筑施工企业的劳动者、职业卫生负责人及有关管理人员。</w:t>
      </w:r>
    </w:p>
    <w:p>
      <w:pPr>
        <w:spacing w:line="360" w:lineRule="auto"/>
        <w:rPr>
          <w:rFonts w:cs="Times New Roman" w:asciiTheme="minorEastAsia" w:hAnsiTheme="minorEastAsia"/>
          <w:i/>
          <w:iCs/>
          <w:u w:val="single"/>
        </w:rPr>
      </w:pPr>
      <w:r>
        <w:rPr>
          <w:rFonts w:hint="eastAsia" w:cs="Times New Roman" w:asciiTheme="minorEastAsia" w:hAnsiTheme="minorEastAsia"/>
          <w:b/>
          <w:bCs/>
          <w:i/>
          <w:iCs/>
          <w:szCs w:val="21"/>
          <w:u w:val="single"/>
          <w:lang w:val="en-US" w:eastAsia="zh-CN"/>
        </w:rPr>
        <w:t>1.0.3</w:t>
      </w:r>
      <w:r>
        <w:rPr>
          <w:rFonts w:hint="eastAsia" w:cs="Times New Roman" w:asciiTheme="minorEastAsia" w:hAnsiTheme="minorEastAsia"/>
          <w:b/>
          <w:bCs/>
          <w:i/>
          <w:iCs/>
          <w:u w:val="single"/>
        </w:rPr>
        <w:t>条文说明：</w:t>
      </w:r>
      <w:r>
        <w:rPr>
          <w:rFonts w:hint="eastAsia" w:cs="Times New Roman" w:asciiTheme="minorEastAsia" w:hAnsiTheme="minorEastAsia"/>
          <w:i/>
          <w:iCs/>
          <w:u w:val="single"/>
        </w:rPr>
        <w:t>从国内建筑施工职业病防治有关标准的内容上看，主要是以职业病危害因素为主线列出相应的职业病危害防护技术措施。目前的标准存在与实际衔接不好的方面，有以下几点：1）职业卫生管理职责不清，未明确专项经费。由于建筑施工行业存在大量的转包、分包等形式的用工方式，对职业卫生管理职责的落实造成了很大难度。2）各个建筑施工工艺可能存在职业病危害因素识别不清。建筑施工有别于其他存在职业病危害的新建、改建、扩建项目，具有工艺流程多而复杂，存在不同职业病危害作业场所的交织。3）尚未对建筑施工常见现场的职业病危害及其防控技术措施进行梳理和总结。</w:t>
      </w:r>
    </w:p>
    <w:p>
      <w:pPr>
        <w:spacing w:line="360" w:lineRule="auto"/>
        <w:jc w:val="left"/>
        <w:rPr>
          <w:rFonts w:ascii="Times New Roman" w:hAnsi="Times New Roman" w:cs="Times New Roman"/>
        </w:rPr>
        <w:sectPr>
          <w:footerReference r:id="rId8" w:type="default"/>
          <w:pgSz w:w="11906" w:h="16838"/>
          <w:pgMar w:top="1440" w:right="1800" w:bottom="1440" w:left="1800" w:header="851" w:footer="992" w:gutter="0"/>
          <w:pgBorders>
            <w:top w:val="none" w:sz="0" w:space="0"/>
            <w:left w:val="none" w:sz="0" w:space="0"/>
            <w:bottom w:val="none" w:sz="0" w:space="0"/>
            <w:right w:val="none" w:sz="0" w:space="0"/>
          </w:pgBorders>
          <w:pgNumType w:start="1"/>
          <w:cols w:space="425" w:num="1"/>
          <w:docGrid w:type="lines" w:linePitch="312" w:charSpace="0"/>
        </w:sectPr>
      </w:pPr>
    </w:p>
    <w:p>
      <w:pPr>
        <w:keepNext w:val="0"/>
        <w:keepLines w:val="0"/>
        <w:pageBreakBefore/>
        <w:widowControl/>
        <w:kinsoku/>
        <w:wordWrap/>
        <w:overflowPunct/>
        <w:topLinePunct w:val="0"/>
        <w:autoSpaceDE/>
        <w:autoSpaceDN/>
        <w:bidi w:val="0"/>
        <w:adjustRightInd/>
        <w:snapToGrid w:val="0"/>
        <w:spacing w:before="312" w:beforeLines="100" w:after="312" w:afterLines="100" w:line="240" w:lineRule="auto"/>
        <w:jc w:val="center"/>
        <w:textAlignment w:val="auto"/>
        <w:outlineLvl w:val="0"/>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2  术语</w:t>
      </w:r>
    </w:p>
    <w:p>
      <w:pPr>
        <w:spacing w:line="360" w:lineRule="auto"/>
        <w:rPr>
          <w:rFonts w:cs="Times New Roman" w:asciiTheme="minorEastAsia" w:hAnsiTheme="minorEastAsia"/>
          <w:b/>
          <w:bCs/>
          <w:i/>
          <w:iCs/>
          <w:u w:val="single"/>
        </w:rPr>
      </w:pPr>
      <w:r>
        <w:rPr>
          <w:rFonts w:hint="eastAsia" w:cs="Times New Roman" w:asciiTheme="minorEastAsia" w:hAnsiTheme="minorEastAsia"/>
          <w:b/>
          <w:bCs/>
          <w:i/>
          <w:iCs/>
          <w:szCs w:val="21"/>
          <w:u w:val="single"/>
          <w:lang w:val="en-US" w:eastAsia="zh-CN"/>
        </w:rPr>
        <w:t>2.0.1～2.0.11</w:t>
      </w:r>
      <w:r>
        <w:rPr>
          <w:rFonts w:hint="eastAsia" w:cs="Times New Roman" w:asciiTheme="minorEastAsia" w:hAnsiTheme="minorEastAsia"/>
          <w:b/>
          <w:bCs/>
          <w:i/>
          <w:iCs/>
          <w:u w:val="single"/>
        </w:rPr>
        <w:t>条文说明：</w:t>
      </w:r>
      <w:r>
        <w:rPr>
          <w:rFonts w:hint="eastAsia" w:cs="Times New Roman" w:asciiTheme="minorEastAsia" w:hAnsiTheme="minorEastAsia"/>
          <w:i/>
          <w:iCs/>
          <w:u w:val="single"/>
        </w:rPr>
        <w:t>本章术语主要引自现行国家标准《建筑施工企业职业病危害防治技术规范》AQ/T4256和《建筑行业职业病危害预防控制规范》GBZ/T 211，同时也参考了其他相关标准和技术文件，定义了分包、转包的责任主体，以及容易造成误解的职业卫生术语。</w:t>
      </w:r>
      <w:r>
        <w:rPr>
          <w:rFonts w:ascii="Times New Roman" w:hAnsi="Times New Roman" w:cs="Times New Roman"/>
          <w:b/>
          <w:sz w:val="28"/>
          <w:szCs w:val="28"/>
        </w:rPr>
        <w:br w:type="page"/>
      </w:r>
    </w:p>
    <w:p>
      <w:pPr>
        <w:keepNext w:val="0"/>
        <w:keepLines w:val="0"/>
        <w:pageBreakBefore/>
        <w:widowControl/>
        <w:kinsoku/>
        <w:wordWrap/>
        <w:overflowPunct/>
        <w:topLinePunct w:val="0"/>
        <w:autoSpaceDE/>
        <w:autoSpaceDN/>
        <w:bidi w:val="0"/>
        <w:adjustRightInd/>
        <w:snapToGrid w:val="0"/>
        <w:spacing w:before="312" w:beforeLines="100" w:after="312" w:afterLines="100" w:line="240" w:lineRule="auto"/>
        <w:jc w:val="center"/>
        <w:textAlignment w:val="auto"/>
        <w:outlineLvl w:val="0"/>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3  基本规定</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3.1 组织机构和规章制度</w:t>
      </w:r>
    </w:p>
    <w:p>
      <w:pPr>
        <w:spacing w:line="360" w:lineRule="auto"/>
        <w:rPr>
          <w:rFonts w:cs="Times New Roman" w:asciiTheme="minorEastAsia" w:hAnsiTheme="minorEastAsia"/>
          <w:i/>
          <w:iCs/>
          <w:u w:val="single"/>
        </w:rPr>
      </w:pPr>
      <w:r>
        <w:rPr>
          <w:rFonts w:hint="eastAsia" w:cs="Times New Roman" w:asciiTheme="minorEastAsia" w:hAnsiTheme="minorEastAsia"/>
          <w:b/>
          <w:bCs/>
          <w:i/>
          <w:iCs/>
          <w:szCs w:val="21"/>
          <w:u w:val="single"/>
          <w:lang w:val="en-US" w:eastAsia="zh-CN"/>
        </w:rPr>
        <w:t>3.1.1</w:t>
      </w:r>
      <w:r>
        <w:rPr>
          <w:rFonts w:hint="eastAsia" w:cs="Times New Roman" w:asciiTheme="minorEastAsia" w:hAnsiTheme="minorEastAsia"/>
          <w:b/>
          <w:bCs/>
          <w:i/>
          <w:iCs/>
          <w:u w:val="single"/>
        </w:rPr>
        <w:t>条文说明：</w:t>
      </w:r>
      <w:r>
        <w:rPr>
          <w:rFonts w:hint="eastAsia" w:cs="Times New Roman" w:asciiTheme="minorEastAsia" w:hAnsiTheme="minorEastAsia"/>
          <w:i/>
          <w:iCs/>
          <w:u w:val="single"/>
        </w:rPr>
        <w:t>本条参考现有建筑施工职业卫生标准，规定了职业卫生管理机构组织以及第一责任人和直接责任人。另外，特别指出总承包和分包的情况下，由总承包单位统一负责管理，检查督促分包单位落实，明确了各自的职责，并要求在合同中增加职业卫生有关的职责和义务。</w:t>
      </w:r>
    </w:p>
    <w:p>
      <w:pPr>
        <w:spacing w:line="360" w:lineRule="auto"/>
        <w:rPr>
          <w:rFonts w:cs="Times New Roman" w:asciiTheme="minorEastAsia" w:hAnsiTheme="minorEastAsia"/>
          <w:bCs/>
          <w:i/>
          <w:iCs/>
          <w:u w:val="single"/>
        </w:rPr>
      </w:pPr>
      <w:r>
        <w:rPr>
          <w:rFonts w:hint="eastAsia" w:cs="Times New Roman" w:asciiTheme="minorEastAsia" w:hAnsiTheme="minorEastAsia"/>
          <w:b/>
          <w:bCs/>
          <w:i/>
          <w:iCs/>
          <w:szCs w:val="21"/>
          <w:u w:val="single"/>
          <w:lang w:val="en-US" w:eastAsia="zh-CN"/>
        </w:rPr>
        <w:t>3.1.2</w:t>
      </w:r>
      <w:r>
        <w:rPr>
          <w:rFonts w:hint="eastAsia" w:cs="Times New Roman" w:asciiTheme="minorEastAsia" w:hAnsiTheme="minorEastAsia"/>
          <w:b/>
          <w:i/>
          <w:iCs/>
          <w:u w:val="single"/>
        </w:rPr>
        <w:t>条文说明：</w:t>
      </w:r>
      <w:r>
        <w:rPr>
          <w:rFonts w:hint="eastAsia" w:cs="Times New Roman" w:asciiTheme="minorEastAsia" w:hAnsiTheme="minorEastAsia"/>
          <w:bCs/>
          <w:i/>
          <w:iCs/>
          <w:u w:val="single"/>
        </w:rPr>
        <w:t>本条参考现有建筑施工职业卫生标准，以表格的形式给出不同规模建筑施工项目配备职业卫生管理人员的参考人数。为了便于实际操作，同现场安全有关的管理人员一同落实职业卫生管理，因此现场安全员、施工员、取得市级及以上职业健康培训合格的人员可作为专职或兼职职业卫生管理人员。</w:t>
      </w:r>
    </w:p>
    <w:p>
      <w:pPr>
        <w:spacing w:line="360" w:lineRule="auto"/>
        <w:rPr>
          <w:rFonts w:ascii="Times New Roman" w:hAnsi="Times New Roman" w:eastAsia="宋体"/>
          <w:b/>
          <w:color w:val="000000"/>
          <w:szCs w:val="21"/>
          <w:highlight w:val="none"/>
        </w:rPr>
      </w:pPr>
      <w:r>
        <w:rPr>
          <w:rFonts w:hint="eastAsia" w:cs="Times New Roman" w:asciiTheme="minorEastAsia" w:hAnsiTheme="minorEastAsia"/>
          <w:b/>
          <w:bCs/>
          <w:i/>
          <w:iCs/>
          <w:szCs w:val="21"/>
          <w:u w:val="single"/>
          <w:lang w:val="en-US" w:eastAsia="zh-CN"/>
        </w:rPr>
        <w:t>3.1.3</w:t>
      </w:r>
      <w:r>
        <w:rPr>
          <w:rFonts w:hint="eastAsia" w:cs="Times New Roman" w:asciiTheme="minorEastAsia" w:hAnsiTheme="minorEastAsia"/>
          <w:b/>
          <w:i/>
          <w:iCs/>
          <w:highlight w:val="none"/>
          <w:u w:val="single"/>
        </w:rPr>
        <w:t>条文说明：</w:t>
      </w:r>
      <w:r>
        <w:rPr>
          <w:rFonts w:hint="eastAsia" w:cs="Times New Roman" w:asciiTheme="minorEastAsia" w:hAnsiTheme="minorEastAsia"/>
          <w:bCs/>
          <w:i/>
          <w:iCs/>
          <w:highlight w:val="none"/>
          <w:u w:val="single"/>
        </w:rPr>
        <w:t>本条</w:t>
      </w:r>
      <w:r>
        <w:rPr>
          <w:rFonts w:hint="eastAsia" w:cs="Times New Roman" w:asciiTheme="minorEastAsia" w:hAnsiTheme="minorEastAsia"/>
          <w:bCs/>
          <w:i/>
          <w:iCs/>
          <w:highlight w:val="none"/>
          <w:u w:val="single"/>
          <w:lang w:eastAsia="zh-CN"/>
        </w:rPr>
        <w:t>依据《职业病防治法》《工作场所职业卫生管理规定》，明确了职业病防治计划和实施方案的具体内容</w:t>
      </w:r>
      <w:r>
        <w:rPr>
          <w:rFonts w:hint="eastAsia" w:cs="Times New Roman" w:asciiTheme="minorEastAsia" w:hAnsiTheme="minorEastAsia"/>
          <w:bCs/>
          <w:i/>
          <w:iCs/>
          <w:highlight w:val="none"/>
          <w:u w:val="single"/>
        </w:rPr>
        <w:t>。</w:t>
      </w:r>
    </w:p>
    <w:p>
      <w:pPr>
        <w:spacing w:line="360" w:lineRule="auto"/>
        <w:rPr>
          <w:rFonts w:cs="Times New Roman" w:asciiTheme="minorEastAsia" w:hAnsiTheme="minorEastAsia"/>
          <w:bCs/>
          <w:i/>
          <w:iCs/>
          <w:u w:val="single"/>
        </w:rPr>
      </w:pPr>
      <w:r>
        <w:rPr>
          <w:rFonts w:hint="eastAsia" w:cs="Times New Roman" w:asciiTheme="minorEastAsia" w:hAnsiTheme="minorEastAsia"/>
          <w:b/>
          <w:bCs/>
          <w:i/>
          <w:iCs/>
          <w:szCs w:val="21"/>
          <w:u w:val="single"/>
          <w:lang w:val="en-US" w:eastAsia="zh-CN"/>
        </w:rPr>
        <w:t>3.1.4～3.1.6</w:t>
      </w:r>
      <w:r>
        <w:rPr>
          <w:rFonts w:hint="eastAsia" w:cs="Times New Roman" w:asciiTheme="minorEastAsia" w:hAnsiTheme="minorEastAsia"/>
          <w:b/>
          <w:i/>
          <w:iCs/>
          <w:u w:val="single"/>
        </w:rPr>
        <w:t>条文说明：</w:t>
      </w:r>
      <w:r>
        <w:rPr>
          <w:rFonts w:hint="eastAsia" w:cs="Times New Roman" w:asciiTheme="minorEastAsia" w:hAnsiTheme="minorEastAsia"/>
          <w:bCs/>
          <w:i/>
          <w:iCs/>
          <w:u w:val="single"/>
        </w:rPr>
        <w:t>参考现有职业卫生技术标准，建立基本的职业卫生管理档案。强调职业健康监护档案的重要性，明确了工程总承包建立的职业卫生档案中包括分包单位劳动者职业健康监护档案复印件。</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3.2 预防性措施</w:t>
      </w:r>
    </w:p>
    <w:p>
      <w:pPr>
        <w:spacing w:line="360" w:lineRule="auto"/>
        <w:rPr>
          <w:rFonts w:cs="Times New Roman" w:asciiTheme="minorEastAsia" w:hAnsiTheme="minorEastAsia"/>
          <w:bCs/>
          <w:i/>
          <w:iCs/>
          <w:u w:val="single"/>
        </w:rPr>
      </w:pPr>
      <w:r>
        <w:rPr>
          <w:rFonts w:hint="eastAsia" w:cs="Times New Roman" w:asciiTheme="minorEastAsia" w:hAnsiTheme="minorEastAsia"/>
          <w:b/>
          <w:bCs/>
          <w:i/>
          <w:iCs/>
          <w:szCs w:val="21"/>
          <w:u w:val="single"/>
          <w:lang w:val="en-US" w:eastAsia="zh-CN"/>
        </w:rPr>
        <w:t>3.2.1～3.2.2</w:t>
      </w:r>
      <w:r>
        <w:rPr>
          <w:rFonts w:hint="eastAsia" w:cs="Times New Roman" w:asciiTheme="minorEastAsia" w:hAnsiTheme="minorEastAsia"/>
          <w:b/>
          <w:i/>
          <w:iCs/>
          <w:u w:val="single"/>
        </w:rPr>
        <w:t>条文说明：</w:t>
      </w:r>
      <w:r>
        <w:rPr>
          <w:rFonts w:hint="eastAsia" w:cs="Times New Roman" w:asciiTheme="minorEastAsia" w:hAnsiTheme="minorEastAsia"/>
          <w:bCs/>
          <w:i/>
          <w:iCs/>
          <w:u w:val="single"/>
        </w:rPr>
        <w:t>本章依据《职业病防治法》、《建设项目职业病防护设施“三同时”监督管理办法》等法律法规，对建筑施工项目的职业卫生管理部门提出了前期预防的有关工作要求。</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3.3 职业卫生培训</w:t>
      </w:r>
    </w:p>
    <w:p>
      <w:pPr>
        <w:spacing w:line="360" w:lineRule="auto"/>
        <w:rPr>
          <w:rFonts w:cs="Times New Roman" w:asciiTheme="minorEastAsia" w:hAnsiTheme="minorEastAsia"/>
          <w:bCs/>
          <w:i/>
          <w:iCs/>
          <w:u w:val="single"/>
        </w:rPr>
      </w:pPr>
      <w:r>
        <w:rPr>
          <w:rFonts w:hint="eastAsia" w:cs="Times New Roman" w:asciiTheme="minorEastAsia" w:hAnsiTheme="minorEastAsia"/>
          <w:b/>
          <w:bCs/>
          <w:i/>
          <w:iCs/>
          <w:szCs w:val="21"/>
          <w:u w:val="single"/>
          <w:lang w:val="en-US" w:eastAsia="zh-CN"/>
        </w:rPr>
        <w:t>3.3.1～3.3.3</w:t>
      </w:r>
      <w:r>
        <w:rPr>
          <w:rFonts w:hint="eastAsia" w:cs="Times New Roman" w:asciiTheme="minorEastAsia" w:hAnsiTheme="minorEastAsia"/>
          <w:b/>
          <w:i/>
          <w:iCs/>
          <w:u w:val="single"/>
        </w:rPr>
        <w:t>条文说明：</w:t>
      </w:r>
      <w:r>
        <w:rPr>
          <w:rFonts w:hint="eastAsia" w:cs="Times New Roman" w:asciiTheme="minorEastAsia" w:hAnsiTheme="minorEastAsia"/>
          <w:bCs/>
          <w:i/>
          <w:iCs/>
          <w:u w:val="single"/>
        </w:rPr>
        <w:t>本条内容主要引自GB/T28001、GB/T28002、DBJ01-83，规定了职业卫生培训的实施者、对象范围、培训内容、周期，与其他行业职业卫生培训相同。</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3.4 职业病危害告知和警示标识</w:t>
      </w:r>
    </w:p>
    <w:p>
      <w:pPr>
        <w:spacing w:line="360" w:lineRule="auto"/>
        <w:rPr>
          <w:rFonts w:cs="Times New Roman" w:asciiTheme="minorEastAsia" w:hAnsiTheme="minorEastAsia"/>
          <w:bCs/>
          <w:i/>
          <w:iCs/>
          <w:u w:val="single"/>
        </w:rPr>
      </w:pPr>
      <w:r>
        <w:rPr>
          <w:rFonts w:hint="eastAsia" w:cs="Times New Roman" w:asciiTheme="minorEastAsia" w:hAnsiTheme="minorEastAsia"/>
          <w:b/>
          <w:bCs/>
          <w:i/>
          <w:iCs/>
          <w:szCs w:val="21"/>
          <w:u w:val="single"/>
          <w:lang w:val="en-US" w:eastAsia="zh-CN"/>
        </w:rPr>
        <w:t>3.4.1～3.4.4</w:t>
      </w:r>
      <w:r>
        <w:rPr>
          <w:rFonts w:hint="eastAsia" w:cs="Times New Roman" w:asciiTheme="minorEastAsia" w:hAnsiTheme="minorEastAsia"/>
          <w:b/>
          <w:i/>
          <w:iCs/>
          <w:u w:val="single"/>
        </w:rPr>
        <w:t>条文说明：</w:t>
      </w:r>
      <w:r>
        <w:rPr>
          <w:rFonts w:hint="eastAsia" w:cs="Times New Roman" w:asciiTheme="minorEastAsia" w:hAnsiTheme="minorEastAsia"/>
          <w:bCs/>
          <w:i/>
          <w:iCs/>
          <w:u w:val="single"/>
        </w:rPr>
        <w:t>本章内容主要引自《职业病防治法》、《工作场所职业病危害警示标识》GBZ158和《高毒物品作业岗位职业病危害告知规范》GBZ/T203中职业病危害告知和警示标识的要求。</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3.5 职业健康监护</w:t>
      </w:r>
    </w:p>
    <w:p>
      <w:pPr>
        <w:spacing w:line="360" w:lineRule="auto"/>
        <w:rPr>
          <w:rFonts w:cs="Times New Roman" w:asciiTheme="minorEastAsia" w:hAnsiTheme="minorEastAsia"/>
          <w:bCs/>
          <w:i/>
          <w:iCs/>
          <w:u w:val="single"/>
        </w:rPr>
      </w:pPr>
      <w:r>
        <w:rPr>
          <w:rFonts w:hint="eastAsia" w:cs="Times New Roman" w:asciiTheme="minorEastAsia" w:hAnsiTheme="minorEastAsia"/>
          <w:b/>
          <w:bCs/>
          <w:i/>
          <w:iCs/>
          <w:szCs w:val="21"/>
          <w:u w:val="single"/>
          <w:lang w:val="en-US" w:eastAsia="zh-CN"/>
        </w:rPr>
        <w:t>3.5.1～3.5.3</w:t>
      </w:r>
      <w:r>
        <w:rPr>
          <w:rFonts w:hint="eastAsia" w:cs="Times New Roman" w:asciiTheme="minorEastAsia" w:hAnsiTheme="minorEastAsia"/>
          <w:b/>
          <w:i/>
          <w:iCs/>
          <w:u w:val="single"/>
        </w:rPr>
        <w:t>条文说明：</w:t>
      </w:r>
      <w:r>
        <w:rPr>
          <w:rFonts w:hint="eastAsia" w:cs="Times New Roman" w:asciiTheme="minorEastAsia" w:hAnsiTheme="minorEastAsia"/>
          <w:bCs/>
          <w:i/>
          <w:iCs/>
          <w:u w:val="single"/>
        </w:rPr>
        <w:t>内容主要引自《职业病防治法》、G</w:t>
      </w:r>
      <w:r>
        <w:rPr>
          <w:rFonts w:cs="Times New Roman" w:asciiTheme="minorEastAsia" w:hAnsiTheme="minorEastAsia"/>
          <w:bCs/>
          <w:i/>
          <w:iCs/>
          <w:u w:val="single"/>
        </w:rPr>
        <w:t>BZ188</w:t>
      </w:r>
      <w:r>
        <w:rPr>
          <w:rFonts w:hint="eastAsia" w:cs="Times New Roman" w:asciiTheme="minorEastAsia" w:hAnsiTheme="minorEastAsia"/>
          <w:bCs/>
          <w:i/>
          <w:iCs/>
          <w:u w:val="single"/>
        </w:rPr>
        <w:t>，规定了职业健康监护的实施者、对象范围、内容、周期，以及职业禁忌证和职业病的安置和治疗，职业健康监护档案管理，与其他行业职业健康监护相同。建筑施工主要工种的职业健康体检项目、周期见附表。</w:t>
      </w:r>
    </w:p>
    <w:p>
      <w:pPr>
        <w:spacing w:line="360" w:lineRule="auto"/>
        <w:jc w:val="center"/>
        <w:rPr>
          <w:rFonts w:ascii="Times New Roman" w:hAnsi="Times New Roman" w:cs="Times New Roman"/>
        </w:rPr>
      </w:pPr>
    </w:p>
    <w:p>
      <w:pPr>
        <w:widowControl/>
        <w:jc w:val="left"/>
        <w:rPr>
          <w:rFonts w:ascii="Times New Roman" w:hAnsi="Times New Roman" w:cs="Times New Roman"/>
        </w:rPr>
      </w:pPr>
      <w:r>
        <w:rPr>
          <w:rFonts w:ascii="Times New Roman" w:hAnsi="Times New Roman" w:cs="Times New Roman"/>
        </w:rPr>
        <w:br w:type="page"/>
      </w:r>
    </w:p>
    <w:p>
      <w:pPr>
        <w:keepNext w:val="0"/>
        <w:keepLines w:val="0"/>
        <w:pageBreakBefore/>
        <w:widowControl/>
        <w:kinsoku/>
        <w:wordWrap/>
        <w:overflowPunct/>
        <w:topLinePunct w:val="0"/>
        <w:autoSpaceDE/>
        <w:autoSpaceDN/>
        <w:bidi w:val="0"/>
        <w:adjustRightInd/>
        <w:snapToGrid w:val="0"/>
        <w:spacing w:before="312" w:beforeLines="100" w:after="312" w:afterLines="100" w:line="240" w:lineRule="auto"/>
        <w:jc w:val="center"/>
        <w:textAlignment w:val="auto"/>
        <w:outlineLvl w:val="0"/>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4  过程管理与防控</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4.1 施工场所管理</w:t>
      </w:r>
    </w:p>
    <w:p>
      <w:pPr>
        <w:spacing w:line="360" w:lineRule="auto"/>
        <w:rPr>
          <w:rFonts w:hint="eastAsia" w:cs="Times New Roman" w:asciiTheme="minorEastAsia" w:hAnsiTheme="minorEastAsia"/>
          <w:b w:val="0"/>
          <w:bCs/>
          <w:i/>
          <w:iCs/>
          <w:color w:val="000000"/>
          <w:sz w:val="21"/>
          <w:szCs w:val="21"/>
          <w:u w:val="single"/>
        </w:rPr>
      </w:pPr>
      <w:r>
        <w:rPr>
          <w:rFonts w:hint="eastAsia" w:cs="Times New Roman" w:asciiTheme="minorEastAsia" w:hAnsiTheme="minorEastAsia"/>
          <w:b/>
          <w:bCs/>
          <w:i/>
          <w:iCs/>
          <w:szCs w:val="21"/>
          <w:u w:val="single"/>
          <w:lang w:val="en-US" w:eastAsia="zh-CN"/>
        </w:rPr>
        <w:t>4.1.1～4.1.3</w:t>
      </w:r>
      <w:r>
        <w:rPr>
          <w:rFonts w:hint="eastAsia" w:cs="Times New Roman" w:asciiTheme="minorEastAsia" w:hAnsiTheme="minorEastAsia"/>
          <w:b/>
          <w:i/>
          <w:iCs/>
          <w:szCs w:val="21"/>
          <w:u w:val="single"/>
        </w:rPr>
        <w:t>条文说明：</w:t>
      </w:r>
      <w:r>
        <w:rPr>
          <w:rFonts w:hint="eastAsia" w:cs="Times New Roman" w:asciiTheme="minorEastAsia" w:hAnsiTheme="minorEastAsia"/>
          <w:b w:val="0"/>
          <w:bCs/>
          <w:i/>
          <w:iCs/>
          <w:szCs w:val="21"/>
          <w:u w:val="single"/>
          <w:lang w:eastAsia="zh-CN"/>
        </w:rPr>
        <w:t>本条</w:t>
      </w:r>
      <w:r>
        <w:rPr>
          <w:rFonts w:hint="eastAsia" w:cs="Times New Roman" w:asciiTheme="minorEastAsia" w:hAnsiTheme="minorEastAsia"/>
          <w:b w:val="0"/>
          <w:bCs/>
          <w:i/>
          <w:iCs/>
          <w:szCs w:val="21"/>
          <w:u w:val="single"/>
        </w:rPr>
        <w:t>内容主要引自GBZ1，</w:t>
      </w:r>
      <w:r>
        <w:rPr>
          <w:rFonts w:hint="eastAsia" w:cs="Times New Roman" w:asciiTheme="minorEastAsia" w:hAnsiTheme="minorEastAsia"/>
          <w:b w:val="0"/>
          <w:bCs/>
          <w:i/>
          <w:iCs/>
          <w:szCs w:val="21"/>
          <w:u w:val="single"/>
          <w:lang w:eastAsia="zh-CN"/>
        </w:rPr>
        <w:t>从原则上对平面布置、基本设施、原料和施工设备等方面提出施工场所管理的原则</w:t>
      </w:r>
      <w:r>
        <w:rPr>
          <w:rFonts w:hint="eastAsia" w:cs="Times New Roman" w:asciiTheme="minorEastAsia" w:hAnsiTheme="minorEastAsia"/>
          <w:b w:val="0"/>
          <w:bCs/>
          <w:i/>
          <w:iCs/>
          <w:szCs w:val="21"/>
          <w:u w:val="single"/>
        </w:rPr>
        <w:t>。</w:t>
      </w:r>
    </w:p>
    <w:p>
      <w:pPr>
        <w:spacing w:line="360" w:lineRule="auto"/>
        <w:rPr>
          <w:rFonts w:hint="eastAsia" w:cs="Times New Roman" w:asciiTheme="minorEastAsia" w:hAnsiTheme="minorEastAsia"/>
          <w:b w:val="0"/>
          <w:bCs/>
          <w:i/>
          <w:iCs/>
          <w:sz w:val="21"/>
          <w:szCs w:val="21"/>
          <w:u w:val="single"/>
        </w:rPr>
      </w:pPr>
      <w:r>
        <w:rPr>
          <w:rFonts w:hint="eastAsia" w:cs="Times New Roman" w:asciiTheme="minorEastAsia" w:hAnsiTheme="minorEastAsia"/>
          <w:b/>
          <w:bCs/>
          <w:i/>
          <w:iCs/>
          <w:szCs w:val="21"/>
          <w:u w:val="single"/>
          <w:lang w:val="en-US" w:eastAsia="zh-CN"/>
        </w:rPr>
        <w:t>4.1.4</w:t>
      </w:r>
      <w:r>
        <w:rPr>
          <w:rFonts w:hint="eastAsia" w:cs="Times New Roman" w:asciiTheme="minorEastAsia" w:hAnsiTheme="minorEastAsia"/>
          <w:b/>
          <w:i/>
          <w:iCs/>
          <w:szCs w:val="21"/>
          <w:u w:val="single"/>
        </w:rPr>
        <w:t>条文说明：</w:t>
      </w:r>
      <w:r>
        <w:rPr>
          <w:rFonts w:hint="eastAsia" w:cs="Times New Roman" w:asciiTheme="minorEastAsia" w:hAnsiTheme="minorEastAsia"/>
          <w:b w:val="0"/>
          <w:bCs/>
          <w:i/>
          <w:iCs/>
          <w:szCs w:val="21"/>
          <w:u w:val="single"/>
          <w:lang w:eastAsia="zh-CN"/>
        </w:rPr>
        <w:t>本条</w:t>
      </w:r>
      <w:r>
        <w:rPr>
          <w:rFonts w:hint="eastAsia" w:cs="Times New Roman" w:asciiTheme="minorEastAsia" w:hAnsiTheme="minorEastAsia"/>
          <w:b w:val="0"/>
          <w:bCs/>
          <w:i/>
          <w:iCs/>
          <w:szCs w:val="21"/>
          <w:u w:val="single"/>
        </w:rPr>
        <w:t>内容主要引自GBZ1，</w:t>
      </w:r>
      <w:r>
        <w:rPr>
          <w:rFonts w:hint="eastAsia" w:cs="Times New Roman" w:asciiTheme="minorEastAsia" w:hAnsiTheme="minorEastAsia"/>
          <w:b w:val="0"/>
          <w:bCs/>
          <w:i/>
          <w:iCs/>
          <w:szCs w:val="21"/>
          <w:u w:val="single"/>
          <w:lang w:eastAsia="zh-CN"/>
        </w:rPr>
        <w:t>规范施工现场化学品、放射性同位素和含有放射性物质材料的使用，设置</w:t>
      </w:r>
      <w:r>
        <w:rPr>
          <w:rFonts w:hint="eastAsia" w:cs="Times New Roman" w:asciiTheme="minorEastAsia" w:hAnsiTheme="minorEastAsia"/>
          <w:bCs/>
          <w:i/>
          <w:iCs/>
          <w:color w:val="auto"/>
          <w:sz w:val="21"/>
          <w:szCs w:val="21"/>
          <w:u w:val="single"/>
        </w:rPr>
        <w:t>警示标识和中文警示说明</w:t>
      </w:r>
      <w:r>
        <w:rPr>
          <w:rFonts w:hint="eastAsia" w:cs="Times New Roman" w:asciiTheme="minorEastAsia" w:hAnsiTheme="minorEastAsia"/>
          <w:b w:val="0"/>
          <w:bCs/>
          <w:i/>
          <w:iCs/>
          <w:szCs w:val="21"/>
          <w:u w:val="single"/>
        </w:rPr>
        <w:t>。</w:t>
      </w:r>
    </w:p>
    <w:p>
      <w:pPr>
        <w:spacing w:line="360" w:lineRule="auto"/>
        <w:rPr>
          <w:color w:val="000000"/>
          <w:szCs w:val="21"/>
        </w:rPr>
      </w:pPr>
      <w:r>
        <w:rPr>
          <w:rFonts w:hint="eastAsia" w:cs="Times New Roman" w:asciiTheme="minorEastAsia" w:hAnsiTheme="minorEastAsia"/>
          <w:b/>
          <w:bCs/>
          <w:i/>
          <w:iCs/>
          <w:szCs w:val="21"/>
          <w:u w:val="single"/>
          <w:lang w:val="en-US" w:eastAsia="zh-CN"/>
        </w:rPr>
        <w:t>4.1.5～4.1.6</w:t>
      </w: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本</w:t>
      </w:r>
      <w:r>
        <w:rPr>
          <w:rFonts w:hint="eastAsia" w:cs="Times New Roman" w:asciiTheme="minorEastAsia" w:hAnsiTheme="minorEastAsia"/>
          <w:bCs/>
          <w:i/>
          <w:iCs/>
          <w:szCs w:val="21"/>
          <w:u w:val="single"/>
          <w:lang w:eastAsia="zh-CN"/>
        </w:rPr>
        <w:t>条</w:t>
      </w:r>
      <w:r>
        <w:rPr>
          <w:rFonts w:hint="eastAsia" w:cs="Times New Roman" w:asciiTheme="minorEastAsia" w:hAnsiTheme="minorEastAsia"/>
          <w:bCs/>
          <w:i/>
          <w:iCs/>
          <w:szCs w:val="21"/>
          <w:u w:val="single"/>
        </w:rPr>
        <w:t>依据《职业病防治法》、GBZ1等法律法规、技术标准，主要引自《建筑施工企业职业病危害防治技术规范》AQ/T4256和《建筑行业职业病危害预防控制规范》GBZ/T 211</w:t>
      </w:r>
      <w:r>
        <w:rPr>
          <w:rFonts w:hint="eastAsia" w:cs="Times New Roman" w:asciiTheme="minorEastAsia" w:hAnsiTheme="minorEastAsia"/>
          <w:bCs/>
          <w:i/>
          <w:iCs/>
          <w:szCs w:val="21"/>
          <w:u w:val="single"/>
          <w:lang w:eastAsia="zh-CN"/>
        </w:rPr>
        <w:t>，对施工现场存在的职业病危害因素提出相应的检测要求</w:t>
      </w:r>
      <w:r>
        <w:rPr>
          <w:rFonts w:hint="eastAsia" w:cs="Times New Roman" w:asciiTheme="minorEastAsia" w:hAnsiTheme="minorEastAsia"/>
          <w:bCs/>
          <w:i/>
          <w:iCs/>
          <w:szCs w:val="21"/>
          <w:u w:val="single"/>
        </w:rPr>
        <w:t>。</w:t>
      </w:r>
      <w:r>
        <w:rPr>
          <w:rFonts w:hint="eastAsia" w:eastAsia="楷体"/>
          <w:bCs/>
          <w:szCs w:val="21"/>
          <w:lang w:bidi="ar"/>
        </w:rPr>
        <w:t xml:space="preserve"> </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4.2 粉尘防护</w:t>
      </w:r>
    </w:p>
    <w:p>
      <w:pPr>
        <w:spacing w:line="360" w:lineRule="auto"/>
        <w:rPr>
          <w:color w:val="000000"/>
          <w:szCs w:val="21"/>
        </w:rPr>
      </w:pPr>
      <w:r>
        <w:rPr>
          <w:rFonts w:hint="eastAsia" w:cs="Times New Roman" w:asciiTheme="minorEastAsia" w:hAnsiTheme="minorEastAsia"/>
          <w:b/>
          <w:bCs/>
          <w:i/>
          <w:iCs/>
          <w:szCs w:val="21"/>
          <w:u w:val="single"/>
          <w:lang w:val="en-US" w:eastAsia="zh-CN"/>
        </w:rPr>
        <w:t>4.2.1～4.2.3</w:t>
      </w: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依据《GBZ1》《建筑施工企业职业病危害防治技术规范》AQ/T4256和《建筑行业职业病危害预防控制规范》GBZ/T 211等技术标准，</w:t>
      </w:r>
      <w:r>
        <w:rPr>
          <w:rFonts w:hint="eastAsia" w:cs="Times New Roman" w:asciiTheme="minorEastAsia" w:hAnsiTheme="minorEastAsia"/>
          <w:bCs/>
          <w:i/>
          <w:iCs/>
          <w:szCs w:val="21"/>
          <w:u w:val="single"/>
          <w:lang w:eastAsia="zh-CN"/>
        </w:rPr>
        <w:t>对可能产生粉尘的工艺、设备提出工艺技术要求，源头上减少粉尘产生</w:t>
      </w:r>
      <w:r>
        <w:rPr>
          <w:rFonts w:hint="eastAsia" w:cs="Times New Roman" w:asciiTheme="minorEastAsia" w:hAnsiTheme="minorEastAsia"/>
          <w:bCs/>
          <w:i/>
          <w:iCs/>
          <w:szCs w:val="21"/>
          <w:u w:val="single"/>
        </w:rPr>
        <w:t>。</w:t>
      </w:r>
      <w:r>
        <w:rPr>
          <w:rFonts w:hint="eastAsia" w:eastAsia="楷体"/>
          <w:bCs/>
          <w:szCs w:val="21"/>
          <w:lang w:bidi="ar"/>
        </w:rPr>
        <w:t xml:space="preserve"> </w:t>
      </w:r>
    </w:p>
    <w:p>
      <w:pPr>
        <w:spacing w:line="360" w:lineRule="auto"/>
        <w:rPr>
          <w:color w:val="000000"/>
          <w:szCs w:val="21"/>
        </w:rPr>
      </w:pPr>
      <w:r>
        <w:rPr>
          <w:rFonts w:hint="eastAsia" w:cs="Times New Roman" w:asciiTheme="minorEastAsia" w:hAnsiTheme="minorEastAsia"/>
          <w:b/>
          <w:bCs/>
          <w:i/>
          <w:iCs/>
          <w:szCs w:val="21"/>
          <w:u w:val="single"/>
          <w:lang w:val="en-US" w:eastAsia="zh-CN"/>
        </w:rPr>
        <w:t>4.2.4～4.2.8</w:t>
      </w: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依据《GBZ1》《建筑施工企业职业病危害防治技术规范》AQ/T4256和《建筑行业职业病危害预防控制规范》GBZ/T 211等技术标准，</w:t>
      </w:r>
      <w:r>
        <w:rPr>
          <w:rFonts w:hint="eastAsia" w:cs="Times New Roman" w:asciiTheme="minorEastAsia" w:hAnsiTheme="minorEastAsia"/>
          <w:bCs/>
          <w:i/>
          <w:iCs/>
          <w:szCs w:val="21"/>
          <w:u w:val="single"/>
          <w:lang w:eastAsia="zh-CN"/>
        </w:rPr>
        <w:t>对在工艺不能避免产生粉尘的情况下，应采取局部防尘、除尘、湿式作业等工程防护措施，以及劳动者作业位置、个人防护用品等管理措施。</w:t>
      </w:r>
      <w:r>
        <w:rPr>
          <w:rFonts w:hint="eastAsia" w:eastAsia="楷体"/>
          <w:bCs/>
          <w:szCs w:val="21"/>
          <w:lang w:bidi="ar"/>
        </w:rPr>
        <w:t xml:space="preserve"> </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4.3 化学毒物防护</w:t>
      </w:r>
    </w:p>
    <w:p>
      <w:pPr>
        <w:spacing w:line="360" w:lineRule="auto"/>
        <w:rPr>
          <w:color w:val="000000"/>
          <w:szCs w:val="21"/>
        </w:rPr>
      </w:pPr>
      <w:r>
        <w:rPr>
          <w:rFonts w:hint="eastAsia" w:cs="Times New Roman" w:asciiTheme="minorEastAsia" w:hAnsiTheme="minorEastAsia"/>
          <w:b/>
          <w:bCs/>
          <w:i/>
          <w:iCs/>
          <w:szCs w:val="21"/>
          <w:u w:val="single"/>
          <w:lang w:val="en-US" w:eastAsia="zh-CN"/>
        </w:rPr>
        <w:t>4.3.1～4.3.2</w:t>
      </w: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依据《GBZ1》《建筑施工企业职业病危害防治技术规范》AQ/T4256和《建筑行业职业病危害预防控制规范》GBZ/T 211等技术标准，</w:t>
      </w:r>
      <w:r>
        <w:rPr>
          <w:rFonts w:hint="eastAsia" w:cs="Times New Roman" w:asciiTheme="minorEastAsia" w:hAnsiTheme="minorEastAsia"/>
          <w:bCs/>
          <w:i/>
          <w:iCs/>
          <w:szCs w:val="21"/>
          <w:u w:val="single"/>
          <w:lang w:eastAsia="zh-CN"/>
        </w:rPr>
        <w:t>对可能产生毒物的原料、工艺、设备提出工艺技术要求，源头上减少毒物产生</w:t>
      </w:r>
      <w:r>
        <w:rPr>
          <w:rFonts w:hint="eastAsia" w:cs="Times New Roman" w:asciiTheme="minorEastAsia" w:hAnsiTheme="minorEastAsia"/>
          <w:bCs/>
          <w:i/>
          <w:iCs/>
          <w:szCs w:val="21"/>
          <w:u w:val="single"/>
        </w:rPr>
        <w:t>。</w:t>
      </w:r>
      <w:r>
        <w:rPr>
          <w:rFonts w:hint="eastAsia" w:eastAsia="楷体"/>
          <w:bCs/>
          <w:szCs w:val="21"/>
          <w:lang w:bidi="ar"/>
        </w:rPr>
        <w:t xml:space="preserve"> </w:t>
      </w:r>
    </w:p>
    <w:p>
      <w:pPr>
        <w:spacing w:line="360" w:lineRule="auto"/>
        <w:rPr>
          <w:color w:val="000000"/>
          <w:szCs w:val="21"/>
        </w:rPr>
      </w:pPr>
      <w:r>
        <w:rPr>
          <w:rFonts w:hint="eastAsia" w:cs="Times New Roman" w:asciiTheme="minorEastAsia" w:hAnsiTheme="minorEastAsia"/>
          <w:b/>
          <w:bCs/>
          <w:i/>
          <w:iCs/>
          <w:szCs w:val="21"/>
          <w:u w:val="single"/>
          <w:lang w:val="en-US" w:eastAsia="zh-CN"/>
        </w:rPr>
        <w:t>4.3.3～4.3.11</w:t>
      </w: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依据《GBZ1》《建筑施工企业职业病危害防治技术规范》AQ/T4256和《建筑行业职业病危害预防控制规范》GBZ/T 211等技术标准，</w:t>
      </w:r>
      <w:r>
        <w:rPr>
          <w:rFonts w:hint="eastAsia" w:cs="Times New Roman" w:asciiTheme="minorEastAsia" w:hAnsiTheme="minorEastAsia"/>
          <w:bCs/>
          <w:i/>
          <w:iCs/>
          <w:szCs w:val="21"/>
          <w:u w:val="single"/>
          <w:lang w:eastAsia="zh-CN"/>
        </w:rPr>
        <w:t>对在工艺不能避免使用或产生毒物的情况下，应采取局部通风、净化、劳动者新风量等工程防护措施，以及劳动者作业位置、个人防护用品、培训、特殊人群等管理措施。</w:t>
      </w:r>
      <w:r>
        <w:rPr>
          <w:rFonts w:hint="eastAsia" w:eastAsia="楷体"/>
          <w:bCs/>
          <w:szCs w:val="21"/>
          <w:lang w:bidi="ar"/>
        </w:rPr>
        <w:t xml:space="preserve"> </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4.4 噪声防护</w:t>
      </w:r>
    </w:p>
    <w:p>
      <w:pPr>
        <w:spacing w:line="360" w:lineRule="auto"/>
        <w:rPr>
          <w:color w:val="000000"/>
          <w:szCs w:val="21"/>
        </w:rPr>
      </w:pPr>
      <w:r>
        <w:rPr>
          <w:rFonts w:hint="eastAsia" w:cs="Times New Roman" w:asciiTheme="minorEastAsia" w:hAnsiTheme="minorEastAsia"/>
          <w:b/>
          <w:bCs/>
          <w:i/>
          <w:iCs/>
          <w:szCs w:val="21"/>
          <w:u w:val="single"/>
          <w:lang w:val="en-US" w:eastAsia="zh-CN"/>
        </w:rPr>
        <w:t>4.4.1～4.4.4</w:t>
      </w: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依据《GBZ1》《建筑施工企业职业病危害防治技术规范》AQ/T4256和《建筑行业职业病危害预防控制规范》GBZ/T 211等技术标准，</w:t>
      </w:r>
      <w:r>
        <w:rPr>
          <w:rFonts w:hint="eastAsia" w:cs="Times New Roman" w:asciiTheme="minorEastAsia" w:hAnsiTheme="minorEastAsia"/>
          <w:bCs/>
          <w:i/>
          <w:iCs/>
          <w:szCs w:val="21"/>
          <w:u w:val="single"/>
          <w:lang w:eastAsia="zh-CN"/>
        </w:rPr>
        <w:t>优先选择低噪声、振动的设备和工艺，对高噪声施工设备应采取隔声、消声、隔振降噪等措施，同时，也明确了噪声作业点设置密度及个人防护用品等管理措施。</w:t>
      </w:r>
      <w:r>
        <w:rPr>
          <w:rFonts w:hint="eastAsia" w:eastAsia="楷体"/>
          <w:bCs/>
          <w:szCs w:val="21"/>
          <w:lang w:bidi="ar"/>
        </w:rPr>
        <w:t xml:space="preserve"> </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4.5 高温防护</w:t>
      </w:r>
    </w:p>
    <w:p>
      <w:pPr>
        <w:spacing w:line="360" w:lineRule="auto"/>
        <w:rPr>
          <w:color w:val="000000"/>
          <w:szCs w:val="21"/>
        </w:rPr>
      </w:pPr>
      <w:r>
        <w:rPr>
          <w:rFonts w:hint="eastAsia" w:cs="Times New Roman" w:asciiTheme="minorEastAsia" w:hAnsiTheme="minorEastAsia"/>
          <w:b/>
          <w:bCs/>
          <w:i/>
          <w:iCs/>
          <w:szCs w:val="21"/>
          <w:u w:val="single"/>
          <w:lang w:val="en-US" w:eastAsia="zh-CN"/>
        </w:rPr>
        <w:t>4.5.1～4.5.9</w:t>
      </w: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依据《GBZ1》《建筑施工企业职业病危害防治技术规范》AQ/T4256和《建筑行业职业病危害预防控制规范》GBZ/T 211等技术标准，</w:t>
      </w:r>
      <w:r>
        <w:rPr>
          <w:rFonts w:hint="eastAsia" w:cs="Times New Roman" w:asciiTheme="minorEastAsia" w:hAnsiTheme="minorEastAsia"/>
          <w:bCs/>
          <w:i/>
          <w:iCs/>
          <w:szCs w:val="21"/>
          <w:u w:val="single"/>
          <w:lang w:eastAsia="zh-CN"/>
        </w:rPr>
        <w:t>对高温作业应采取空调或风扇等降温措施，同时，也明确了具体的降温方式、降低劳动强度、调整作息制度等管理措施。</w:t>
      </w:r>
      <w:r>
        <w:rPr>
          <w:rFonts w:hint="eastAsia" w:eastAsia="楷体"/>
          <w:bCs/>
          <w:szCs w:val="21"/>
          <w:lang w:bidi="ar"/>
        </w:rPr>
        <w:t xml:space="preserve"> </w:t>
      </w:r>
    </w:p>
    <w:p>
      <w:pPr>
        <w:pStyle w:val="3"/>
        <w:keepNext/>
        <w:keepLines/>
        <w:pageBreakBefore w:val="0"/>
        <w:widowControl w:val="0"/>
        <w:kinsoku/>
        <w:wordWrap/>
        <w:overflowPunct/>
        <w:topLinePunct w:val="0"/>
        <w:autoSpaceDE/>
        <w:autoSpaceDN/>
        <w:bidi w:val="0"/>
        <w:adjustRightInd/>
        <w:snapToGrid/>
        <w:spacing w:before="312" w:beforeLines="100" w:after="312" w:afterLines="100" w:line="240" w:lineRule="auto"/>
        <w:jc w:val="center"/>
        <w:textAlignment w:val="auto"/>
        <w:rPr>
          <w:rFonts w:hint="eastAsia" w:ascii="宋体" w:hAnsi="宋体" w:eastAsia="宋体" w:cs="宋体"/>
          <w:bCs w:val="0"/>
          <w:color w:val="000000"/>
          <w:sz w:val="21"/>
          <w:szCs w:val="21"/>
        </w:rPr>
      </w:pPr>
      <w:r>
        <w:rPr>
          <w:rFonts w:hint="eastAsia" w:ascii="宋体" w:hAnsi="宋体" w:eastAsia="宋体" w:cs="宋体"/>
          <w:bCs w:val="0"/>
          <w:color w:val="000000"/>
          <w:sz w:val="21"/>
          <w:szCs w:val="21"/>
        </w:rPr>
        <w:t>4.6 其他职业病危害防护</w:t>
      </w:r>
    </w:p>
    <w:p>
      <w:pPr>
        <w:spacing w:line="360" w:lineRule="auto"/>
        <w:rPr>
          <w:rFonts w:hint="eastAsia" w:cs="Times New Roman" w:asciiTheme="minorEastAsia" w:hAnsiTheme="minorEastAsia"/>
          <w:bCs/>
          <w:i/>
          <w:iCs/>
          <w:szCs w:val="21"/>
          <w:u w:val="single"/>
        </w:rPr>
      </w:pPr>
      <w:r>
        <w:rPr>
          <w:rFonts w:hint="eastAsia" w:cs="Times New Roman" w:asciiTheme="minorEastAsia" w:hAnsiTheme="minorEastAsia"/>
          <w:b/>
          <w:bCs/>
          <w:i/>
          <w:iCs/>
          <w:szCs w:val="21"/>
          <w:u w:val="single"/>
          <w:lang w:val="en-US" w:eastAsia="zh-CN"/>
        </w:rPr>
        <w:t>4.6.1～4.6.15</w:t>
      </w: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本</w:t>
      </w:r>
      <w:r>
        <w:rPr>
          <w:rFonts w:hint="eastAsia" w:cs="Times New Roman" w:asciiTheme="minorEastAsia" w:hAnsiTheme="minorEastAsia"/>
          <w:bCs/>
          <w:i/>
          <w:iCs/>
          <w:szCs w:val="21"/>
          <w:u w:val="single"/>
          <w:lang w:eastAsia="zh-CN"/>
        </w:rPr>
        <w:t>节</w:t>
      </w:r>
      <w:r>
        <w:rPr>
          <w:rFonts w:hint="eastAsia" w:cs="Times New Roman" w:asciiTheme="minorEastAsia" w:hAnsiTheme="minorEastAsia"/>
          <w:bCs/>
          <w:i/>
          <w:iCs/>
          <w:szCs w:val="21"/>
          <w:u w:val="single"/>
        </w:rPr>
        <w:t>内容主要引自《建筑施工企业职业病危害防治技术规范》</w:t>
      </w:r>
      <w:r>
        <w:rPr>
          <w:rFonts w:cs="Times New Roman" w:asciiTheme="minorEastAsia" w:hAnsiTheme="minorEastAsia"/>
          <w:bCs/>
          <w:i/>
          <w:iCs/>
          <w:szCs w:val="21"/>
          <w:u w:val="single"/>
        </w:rPr>
        <w:t>AQ/T4256</w:t>
      </w:r>
      <w:r>
        <w:rPr>
          <w:rFonts w:hint="eastAsia" w:cs="Times New Roman" w:asciiTheme="minorEastAsia" w:hAnsiTheme="minorEastAsia"/>
          <w:bCs/>
          <w:i/>
          <w:iCs/>
          <w:szCs w:val="21"/>
          <w:u w:val="single"/>
        </w:rPr>
        <w:t>和《建筑行业职业病危害预防控制规范》</w:t>
      </w:r>
      <w:r>
        <w:rPr>
          <w:rFonts w:cs="Times New Roman" w:asciiTheme="minorEastAsia" w:hAnsiTheme="minorEastAsia"/>
          <w:bCs/>
          <w:i/>
          <w:iCs/>
          <w:szCs w:val="21"/>
          <w:u w:val="single"/>
        </w:rPr>
        <w:t>GBZ/T211</w:t>
      </w:r>
      <w:r>
        <w:rPr>
          <w:rFonts w:hint="eastAsia" w:cs="Times New Roman" w:asciiTheme="minorEastAsia" w:hAnsiTheme="minorEastAsia"/>
          <w:bCs/>
          <w:i/>
          <w:iCs/>
          <w:szCs w:val="21"/>
          <w:u w:val="single"/>
        </w:rPr>
        <w:t>中</w:t>
      </w:r>
      <w:r>
        <w:rPr>
          <w:rFonts w:hint="eastAsia" w:cs="Times New Roman" w:asciiTheme="minorEastAsia" w:hAnsiTheme="minorEastAsia"/>
          <w:bCs/>
          <w:i/>
          <w:iCs/>
          <w:szCs w:val="21"/>
          <w:u w:val="single"/>
          <w:lang w:eastAsia="zh-CN"/>
        </w:rPr>
        <w:t>寒冷、焊接、高原、桥梁、隧道、电离辐射相关的作业</w:t>
      </w:r>
      <w:r>
        <w:rPr>
          <w:rFonts w:hint="eastAsia" w:cs="Times New Roman" w:asciiTheme="minorEastAsia" w:hAnsiTheme="minorEastAsia"/>
          <w:bCs/>
          <w:i/>
          <w:iCs/>
          <w:szCs w:val="21"/>
          <w:u w:val="single"/>
        </w:rPr>
        <w:t>等建筑施工现场常见职业病危害因素的防护设施设计原则、要求及具体措施，删除了其中不适合重庆地区的或实际施工中较少使用的防护措施。</w:t>
      </w:r>
    </w:p>
    <w:p>
      <w:pPr>
        <w:spacing w:line="360" w:lineRule="auto"/>
        <w:rPr>
          <w:rFonts w:cs="Times New Roman" w:asciiTheme="minorEastAsia" w:hAnsiTheme="minorEastAsia"/>
          <w:bCs/>
          <w:i/>
          <w:iCs/>
          <w:szCs w:val="21"/>
          <w:u w:val="single"/>
        </w:rPr>
      </w:pPr>
      <w:r>
        <w:rPr>
          <w:rFonts w:hint="eastAsia" w:cs="Times New Roman" w:asciiTheme="minorEastAsia" w:hAnsiTheme="minorEastAsia"/>
          <w:bCs/>
          <w:i/>
          <w:iCs/>
          <w:szCs w:val="21"/>
          <w:u w:val="single"/>
        </w:rPr>
        <w:t>本标准在现有技术标准的基础上，查阅建筑施工工艺有关资料和现场调查，梳理了各类工程工序主要施工人员（工种），见附录。相似施工人员（工种）接触相似的职业病危害因素种类，可采取相近的防护措施，建筑施工现场常见职业病危害因素的分布及防护措施情况见附录。以不同工程类型的主要施工人员（工种）为主线表格化罗列，方便查阅。</w:t>
      </w:r>
    </w:p>
    <w:p>
      <w:pPr>
        <w:rPr>
          <w:color w:val="000000"/>
        </w:rPr>
      </w:pPr>
    </w:p>
    <w:p>
      <w:pPr>
        <w:keepNext w:val="0"/>
        <w:keepLines w:val="0"/>
        <w:pageBreakBefore/>
        <w:widowControl/>
        <w:kinsoku/>
        <w:wordWrap/>
        <w:overflowPunct/>
        <w:topLinePunct w:val="0"/>
        <w:autoSpaceDE/>
        <w:autoSpaceDN/>
        <w:bidi w:val="0"/>
        <w:adjustRightInd/>
        <w:snapToGrid w:val="0"/>
        <w:spacing w:before="312" w:beforeLines="100" w:after="312" w:afterLines="100" w:line="240" w:lineRule="auto"/>
        <w:jc w:val="center"/>
        <w:textAlignment w:val="auto"/>
        <w:outlineLvl w:val="0"/>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5 应急救援措施及设施</w:t>
      </w:r>
    </w:p>
    <w:p>
      <w:pPr>
        <w:spacing w:line="360" w:lineRule="auto"/>
        <w:rPr>
          <w:rFonts w:cs="Times New Roman" w:asciiTheme="minorEastAsia" w:hAnsiTheme="minorEastAsia"/>
          <w:b/>
          <w:i/>
          <w:iCs/>
          <w:szCs w:val="21"/>
          <w:u w:val="single"/>
        </w:rPr>
      </w:pPr>
      <w:r>
        <w:rPr>
          <w:rFonts w:hint="eastAsia" w:cs="Times New Roman" w:asciiTheme="minorEastAsia" w:hAnsiTheme="minorEastAsia"/>
          <w:b/>
          <w:i/>
          <w:iCs/>
          <w:szCs w:val="21"/>
          <w:u w:val="single"/>
          <w:lang w:val="en-US" w:eastAsia="zh-CN"/>
        </w:rPr>
        <w:t>5.0.1～5.0.3</w:t>
      </w: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内容主要引自《建筑施工企业职业病危害防治技术规范》AQ/T4256和《建筑行业职业病危害预防控制规范》GBZ/T211中建筑施工过程可能存在的应急救援内容，</w:t>
      </w:r>
      <w:r>
        <w:rPr>
          <w:rFonts w:hint="eastAsia" w:cs="Times New Roman" w:asciiTheme="minorEastAsia" w:hAnsiTheme="minorEastAsia"/>
          <w:bCs/>
          <w:i/>
          <w:iCs/>
          <w:szCs w:val="21"/>
          <w:u w:val="single"/>
          <w:lang w:eastAsia="zh-CN"/>
        </w:rPr>
        <w:t>须建立机构或组织，制定相应的应急预案。</w:t>
      </w:r>
    </w:p>
    <w:p>
      <w:pPr>
        <w:spacing w:line="360" w:lineRule="auto"/>
        <w:rPr>
          <w:rFonts w:cs="Times New Roman" w:asciiTheme="minorEastAsia" w:hAnsiTheme="minorEastAsia"/>
          <w:b/>
          <w:i/>
          <w:iCs/>
          <w:szCs w:val="21"/>
          <w:u w:val="single"/>
        </w:rPr>
      </w:pPr>
      <w:r>
        <w:rPr>
          <w:rFonts w:hint="eastAsia" w:cs="Times New Roman" w:asciiTheme="minorEastAsia" w:hAnsiTheme="minorEastAsia"/>
          <w:b/>
          <w:i/>
          <w:iCs/>
          <w:szCs w:val="21"/>
          <w:u w:val="single"/>
          <w:lang w:val="en-US" w:eastAsia="zh-CN"/>
        </w:rPr>
        <w:t>5.0.4～5.0.6</w:t>
      </w: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内容主要引自《建筑施工企业职业病危害防治技术规范》AQ/T4256和《建筑行业职业病危害预防控制规范》GBZ/T211中建筑施工过程可能存在的应急救援内容，</w:t>
      </w:r>
      <w:r>
        <w:rPr>
          <w:rFonts w:hint="eastAsia" w:cs="Times New Roman" w:asciiTheme="minorEastAsia" w:hAnsiTheme="minorEastAsia"/>
          <w:bCs/>
          <w:i/>
          <w:iCs/>
          <w:szCs w:val="21"/>
          <w:u w:val="single"/>
          <w:lang w:eastAsia="zh-CN"/>
        </w:rPr>
        <w:t>须建立机构或组织，制定相应的应急预案。</w:t>
      </w:r>
    </w:p>
    <w:p>
      <w:pPr>
        <w:spacing w:line="360" w:lineRule="auto"/>
        <w:rPr>
          <w:color w:val="000000"/>
        </w:rPr>
      </w:pPr>
      <w:r>
        <w:rPr>
          <w:rFonts w:hint="eastAsia" w:cs="Times New Roman" w:asciiTheme="minorEastAsia" w:hAnsiTheme="minorEastAsia"/>
          <w:b/>
          <w:i/>
          <w:iCs/>
          <w:szCs w:val="21"/>
          <w:u w:val="single"/>
          <w:lang w:val="en-US" w:eastAsia="zh-CN"/>
        </w:rPr>
        <w:t>5.0.7～5.0.8</w:t>
      </w: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内容主要引自《建筑施工企业职业病危害防治技术规范》AQ/T4256和《建筑行业职业病危害预防控制规范》GBZ/T211中</w:t>
      </w:r>
      <w:r>
        <w:rPr>
          <w:rFonts w:hint="eastAsia" w:cs="Times New Roman" w:asciiTheme="minorEastAsia" w:hAnsiTheme="minorEastAsia"/>
          <w:bCs/>
          <w:i/>
          <w:iCs/>
          <w:szCs w:val="21"/>
          <w:u w:val="single"/>
          <w:lang w:eastAsia="zh-CN"/>
        </w:rPr>
        <w:t>要求施工单位开展应急救援培训，并且与医疗机构建立合作关系</w:t>
      </w:r>
      <w:r>
        <w:rPr>
          <w:rFonts w:hint="eastAsia" w:cs="Times New Roman" w:asciiTheme="minorEastAsia" w:hAnsiTheme="minorEastAsia"/>
          <w:bCs/>
          <w:i/>
          <w:iCs/>
          <w:szCs w:val="21"/>
          <w:u w:val="single"/>
        </w:rPr>
        <w:t>。</w:t>
      </w:r>
    </w:p>
    <w:p>
      <w:pPr>
        <w:keepNext w:val="0"/>
        <w:keepLines w:val="0"/>
        <w:pageBreakBefore/>
        <w:widowControl/>
        <w:kinsoku/>
        <w:wordWrap/>
        <w:overflowPunct/>
        <w:topLinePunct w:val="0"/>
        <w:autoSpaceDE/>
        <w:autoSpaceDN/>
        <w:bidi w:val="0"/>
        <w:adjustRightInd/>
        <w:snapToGrid w:val="0"/>
        <w:spacing w:before="312" w:beforeLines="100" w:after="312" w:afterLines="100" w:line="240" w:lineRule="auto"/>
        <w:jc w:val="center"/>
        <w:textAlignment w:val="auto"/>
        <w:outlineLvl w:val="0"/>
        <w:rPr>
          <w:rFonts w:hint="eastAsia" w:ascii="宋体" w:hAnsi="宋体" w:eastAsia="宋体" w:cs="宋体"/>
          <w:b/>
          <w:bCs/>
          <w:color w:val="000000"/>
          <w:kern w:val="0"/>
          <w:sz w:val="28"/>
          <w:szCs w:val="28"/>
        </w:rPr>
      </w:pPr>
      <w:r>
        <w:rPr>
          <w:rFonts w:hint="eastAsia" w:ascii="宋体" w:hAnsi="宋体" w:eastAsia="宋体" w:cs="宋体"/>
          <w:b/>
          <w:bCs/>
          <w:color w:val="000000"/>
          <w:kern w:val="0"/>
          <w:sz w:val="28"/>
          <w:szCs w:val="28"/>
        </w:rPr>
        <w:t>6 劳动防护用品</w:t>
      </w:r>
    </w:p>
    <w:p>
      <w:pPr>
        <w:spacing w:line="360" w:lineRule="auto"/>
        <w:rPr>
          <w:rFonts w:cs="Times New Roman" w:asciiTheme="minorEastAsia" w:hAnsiTheme="minorEastAsia"/>
          <w:b/>
          <w:i/>
          <w:iCs/>
          <w:szCs w:val="21"/>
          <w:u w:val="single"/>
        </w:rPr>
      </w:pPr>
      <w:r>
        <w:rPr>
          <w:rFonts w:hint="eastAsia" w:cs="Times New Roman" w:asciiTheme="minorEastAsia" w:hAnsiTheme="minorEastAsia"/>
          <w:b/>
          <w:i/>
          <w:iCs/>
          <w:szCs w:val="21"/>
          <w:u w:val="single"/>
          <w:lang w:val="en-US" w:eastAsia="zh-CN"/>
        </w:rPr>
        <w:t>6.0.1～6.0.3</w:t>
      </w:r>
      <w:r>
        <w:rPr>
          <w:rFonts w:hint="eastAsia" w:cs="Times New Roman" w:asciiTheme="minorEastAsia" w:hAnsiTheme="minorEastAsia"/>
          <w:b/>
          <w:i/>
          <w:iCs/>
          <w:szCs w:val="21"/>
          <w:u w:val="single"/>
        </w:rPr>
        <w:t>条文说明：</w:t>
      </w:r>
      <w:r>
        <w:rPr>
          <w:rFonts w:hint="eastAsia" w:cs="Times New Roman" w:asciiTheme="minorEastAsia" w:hAnsiTheme="minorEastAsia"/>
          <w:bCs/>
          <w:i/>
          <w:iCs/>
          <w:szCs w:val="21"/>
          <w:u w:val="single"/>
        </w:rPr>
        <w:t>本章内容主要引自《个体防护装备选用规范》GB/T11651和《呼吸防护用品的选择、使用与维护》GB/T18664，在附录C中具体列出了主要施工人员的个人防护用品配备参考，进一步增加了防尘口罩参数要求。以不同工程类型的主要施工人员（工种）为主线表格化罗列，方便查阅。</w:t>
      </w:r>
    </w:p>
    <w:p>
      <w:pPr>
        <w:spacing w:line="360" w:lineRule="auto"/>
        <w:jc w:val="center"/>
        <w:rPr>
          <w:rFonts w:ascii="Times New Roman" w:cs="Times New Roman"/>
        </w:rPr>
      </w:pPr>
    </w:p>
    <w:p>
      <w:pPr>
        <w:spacing w:line="360" w:lineRule="auto"/>
        <w:jc w:val="center"/>
        <w:rPr>
          <w:rFonts w:ascii="Times New Roman" w:hAnsi="Times New Roman" w:cs="Times New Roman"/>
          <w:color w:val="FF0000"/>
        </w:rPr>
      </w:pPr>
    </w:p>
    <w:sectPr>
      <w:pgSz w:w="11906" w:h="16838"/>
      <w:pgMar w:top="1440" w:right="1800" w:bottom="1440" w:left="1800" w:header="851" w:footer="992" w:gutter="0"/>
      <w:pgBorders>
        <w:top w:val="none" w:sz="0" w:space="0"/>
        <w:left w:val="none" w:sz="0" w:space="0"/>
        <w:bottom w:val="none" w:sz="0" w:space="0"/>
        <w:right w:val="none"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altName w:val="Arial Unicode MS"/>
    <w:panose1 w:val="02000000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898393971"/>
      <w:docPartObj>
        <w:docPartGallery w:val="autotext"/>
      </w:docPartObj>
    </w:sdtPr>
    <w:sdtContent>
      <w:sdt>
        <w:sdtPr>
          <w:id w:val="-1705238520"/>
          <w:docPartObj>
            <w:docPartGallery w:val="autotext"/>
          </w:docPartObj>
        </w:sdtPr>
        <w:sdtContent>
          <w:p>
            <w:pPr>
              <w:pStyle w:val="13"/>
            </w:pPr>
          </w:p>
        </w:sdtContent>
      </w:sdt>
    </w:sdtContent>
  </w:sdt>
  <w:p>
    <w:pPr>
      <w:pStyle w:val="1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9339690"/>
      <w:docPartObj>
        <w:docPartGallery w:val="autotext"/>
      </w:docPartObj>
    </w:sdtPr>
    <w:sdtContent>
      <w:sdt>
        <w:sdtPr>
          <w:id w:val="2020262822"/>
          <w:docPartObj>
            <w:docPartGallery w:val="autotext"/>
          </w:docPartObj>
        </w:sdtPr>
        <w:sdtContent>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p>
        </w:sdtContent>
      </w:sdt>
    </w:sdtContent>
  </w:sdt>
  <w:p>
    <w:pPr>
      <w:pStyle w:val="13"/>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33985" cy="153035"/>
              <wp:effectExtent l="0" t="0" r="0" b="0"/>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133985" cy="153035"/>
                      </a:xfrm>
                      <a:prstGeom prst="rect">
                        <a:avLst/>
                      </a:prstGeom>
                      <a:noFill/>
                      <a:ln>
                        <a:noFill/>
                      </a:ln>
                    </wps:spPr>
                    <wps:txbx>
                      <w:txbxContent>
                        <w:p>
                          <w:pPr>
                            <w:snapToGrid w:val="0"/>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PAGE  \* MERGEFORMAT </w:instrText>
                          </w:r>
                          <w:r>
                            <w:rPr>
                              <w:rFonts w:ascii="Times New Roman" w:hAnsi="Times New Roman" w:cs="Times New Roman"/>
                              <w:sz w:val="18"/>
                            </w:rPr>
                            <w:fldChar w:fldCharType="separate"/>
                          </w:r>
                          <w:r>
                            <w:rPr>
                              <w:rFonts w:ascii="Times New Roman" w:hAnsi="Times New Roman" w:cs="Times New Roman"/>
                            </w:rPr>
                            <w:t>44</w:t>
                          </w:r>
                          <w:r>
                            <w:rPr>
                              <w:rFonts w:ascii="Times New Roman" w:hAnsi="Times New Roman" w:cs="Times New Roman"/>
                              <w:sz w:val="18"/>
                            </w:rPr>
                            <w:fldChar w:fldCharType="end"/>
                          </w:r>
                        </w:p>
                      </w:txbxContent>
                    </wps:txbx>
                    <wps:bodyPr rot="0" vert="horz" wrap="none" lIns="0" tIns="0" rIns="0" bIns="0" anchor="t" anchorCtr="0" upright="1">
                      <a:spAutoFit/>
                    </wps:bodyPr>
                  </wps:wsp>
                </a:graphicData>
              </a:graphic>
            </wp:anchor>
          </w:drawing>
        </mc:Choice>
        <mc:Fallback>
          <w:pict>
            <v:shape id="_x0000_s1026" o:spid="_x0000_s1026" o:spt="202" type="#_x0000_t202" style="position:absolute;left:0pt;margin-top:0pt;height:12.05pt;width:10.55pt;mso-position-horizontal:center;mso-position-horizontal-relative:margin;mso-wrap-style:none;z-index:251659264;mso-width-relative:page;mso-height-relative:page;" filled="f" stroked="f" coordsize="21600,21600" o:gfxdata="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JB7XTPQAAAA&#10;AwEAAA8AAAAAAAAAAQAgAAAAIgAAAGRycy9kb3ducmV2LnhtbFBLAQIUABQAAAAIAIdO4kDUL5Ud&#10;7AEAALQDAAAOAAAAAAAAAAEAIAAAAB8BAABkcnMvZTJvRG9jLnhtbFBLBQYAAAAABgAGAFkBAAB9&#10;BQAAAAA=&#10;">
              <v:fill on="f" focussize="0,0"/>
              <v:stroke on="f"/>
              <v:imagedata o:title=""/>
              <o:lock v:ext="edit" aspectratio="f"/>
              <v:textbox inset="0mm,0mm,0mm,0mm" style="mso-fit-shape-to-text:t;">
                <w:txbxContent>
                  <w:p>
                    <w:pPr>
                      <w:snapToGrid w:val="0"/>
                      <w:rPr>
                        <w:rFonts w:ascii="Times New Roman" w:hAnsi="Times New Roman" w:cs="Times New Roman"/>
                        <w:sz w:val="18"/>
                      </w:rPr>
                    </w:pPr>
                    <w:r>
                      <w:rPr>
                        <w:rFonts w:ascii="Times New Roman" w:hAnsi="Times New Roman" w:cs="Times New Roman"/>
                        <w:sz w:val="18"/>
                      </w:rPr>
                      <w:fldChar w:fldCharType="begin"/>
                    </w:r>
                    <w:r>
                      <w:rPr>
                        <w:rFonts w:ascii="Times New Roman" w:hAnsi="Times New Roman" w:cs="Times New Roman"/>
                        <w:sz w:val="18"/>
                      </w:rPr>
                      <w:instrText xml:space="preserve"> PAGE  \* MERGEFORMAT </w:instrText>
                    </w:r>
                    <w:r>
                      <w:rPr>
                        <w:rFonts w:ascii="Times New Roman" w:hAnsi="Times New Roman" w:cs="Times New Roman"/>
                        <w:sz w:val="18"/>
                      </w:rPr>
                      <w:fldChar w:fldCharType="separate"/>
                    </w:r>
                    <w:r>
                      <w:rPr>
                        <w:rFonts w:ascii="Times New Roman" w:hAnsi="Times New Roman" w:cs="Times New Roman"/>
                      </w:rPr>
                      <w:t>44</w:t>
                    </w:r>
                    <w:r>
                      <w:rPr>
                        <w:rFonts w:ascii="Times New Roman" w:hAnsi="Times New Roman" w:cs="Times New Roman"/>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29339690"/>
      <w:docPartObj>
        <w:docPartGallery w:val="autotext"/>
      </w:docPartObj>
    </w:sdtPr>
    <w:sdtContent>
      <w:sdt>
        <w:sdtPr>
          <w:id w:val="2020262822"/>
          <w:docPartObj>
            <w:docPartGallery w:val="autotext"/>
          </w:docPartObj>
        </w:sdtPr>
        <w:sdtContent>
          <w:p>
            <w:pPr>
              <w:pStyle w:val="13"/>
              <w:jc w:val="center"/>
            </w:pPr>
            <w:r>
              <w:rPr>
                <w:lang w:val="zh-CN"/>
              </w:rPr>
              <w:t xml:space="preserve"> </w:t>
            </w:r>
            <w:r>
              <w:rPr>
                <w:b/>
                <w:bCs/>
                <w:sz w:val="24"/>
                <w:szCs w:val="24"/>
              </w:rPr>
              <w:fldChar w:fldCharType="begin"/>
            </w:r>
            <w:r>
              <w:rPr>
                <w:b/>
                <w:bCs/>
              </w:rPr>
              <w:instrText xml:space="preserve">PAGE</w:instrText>
            </w:r>
            <w:r>
              <w:rPr>
                <w:b/>
                <w:bCs/>
                <w:sz w:val="24"/>
                <w:szCs w:val="24"/>
              </w:rPr>
              <w:fldChar w:fldCharType="separate"/>
            </w:r>
            <w:r>
              <w:rPr>
                <w:b/>
                <w:bCs/>
                <w:lang w:val="zh-CN"/>
              </w:rPr>
              <w:t>2</w:t>
            </w:r>
            <w:r>
              <w:rPr>
                <w:b/>
                <w:bCs/>
                <w:sz w:val="24"/>
                <w:szCs w:val="24"/>
              </w:rPr>
              <w:fldChar w:fldCharType="end"/>
            </w:r>
          </w:p>
        </w:sdtContent>
      </w:sdt>
    </w:sdtContent>
  </w:sdt>
  <w:p>
    <w:pPr>
      <w:pStyle w:val="13"/>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D7615"/>
    <w:multiLevelType w:val="multilevel"/>
    <w:tmpl w:val="069D7615"/>
    <w:lvl w:ilvl="0" w:tentative="0">
      <w:start w:val="1"/>
      <w:numFmt w:val="decimal"/>
      <w:lvlText w:val="%1"/>
      <w:lvlJc w:val="left"/>
      <w:pPr>
        <w:ind w:left="615" w:hanging="615"/>
      </w:pPr>
      <w:rPr>
        <w:rFonts w:hint="default"/>
      </w:rPr>
    </w:lvl>
    <w:lvl w:ilvl="1" w:tentative="0">
      <w:start w:val="0"/>
      <w:numFmt w:val="decimal"/>
      <w:pStyle w:val="37"/>
      <w:lvlText w:val="%1.%2"/>
      <w:lvlJc w:val="left"/>
      <w:pPr>
        <w:ind w:left="615" w:hanging="615"/>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720" w:hanging="72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080" w:hanging="1080"/>
      </w:pPr>
      <w:rPr>
        <w:rFonts w:hint="default"/>
      </w:rPr>
    </w:lvl>
    <w:lvl w:ilvl="6" w:tentative="0">
      <w:start w:val="1"/>
      <w:numFmt w:val="decimal"/>
      <w:lvlText w:val="%1.%2.%3.%4.%5.%6.%7"/>
      <w:lvlJc w:val="left"/>
      <w:pPr>
        <w:ind w:left="1080" w:hanging="1080"/>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440" w:hanging="1440"/>
      </w:pPr>
      <w:rPr>
        <w:rFonts w:hint="default"/>
      </w:rPr>
    </w:lvl>
  </w:abstractNum>
  <w:abstractNum w:abstractNumId="1">
    <w:nsid w:val="06BC00D8"/>
    <w:multiLevelType w:val="multilevel"/>
    <w:tmpl w:val="06BC00D8"/>
    <w:lvl w:ilvl="0" w:tentative="0">
      <w:start w:val="1"/>
      <w:numFmt w:val="decimal"/>
      <w:lvlText w:val="3.4.%1"/>
      <w:lvlJc w:val="left"/>
      <w:pPr>
        <w:ind w:left="2972" w:hanging="420"/>
      </w:pPr>
      <w:rPr>
        <w:rFonts w:hint="default" w:ascii="Times New Roman" w:hAnsi="Times New Roman"/>
        <w:b/>
        <w:i w:val="0"/>
        <w:sz w:val="21"/>
        <w:szCs w:val="21"/>
        <w:lang w:val="en-US"/>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B8E046D"/>
    <w:multiLevelType w:val="multilevel"/>
    <w:tmpl w:val="0B8E046D"/>
    <w:lvl w:ilvl="0" w:tentative="0">
      <w:start w:val="1"/>
      <w:numFmt w:val="decimal"/>
      <w:pStyle w:val="77"/>
      <w:lvlText w:val="%1"/>
      <w:lvlJc w:val="left"/>
      <w:pPr>
        <w:ind w:left="630" w:hanging="630"/>
      </w:pPr>
      <w:rPr>
        <w:rFonts w:hint="default"/>
        <w:b/>
      </w:rPr>
    </w:lvl>
    <w:lvl w:ilvl="1" w:tentative="0">
      <w:start w:val="0"/>
      <w:numFmt w:val="decimal"/>
      <w:lvlText w:val="%1.%2"/>
      <w:lvlJc w:val="left"/>
      <w:pPr>
        <w:ind w:left="630" w:hanging="63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720" w:hanging="720"/>
      </w:pPr>
      <w:rPr>
        <w:rFonts w:hint="default"/>
        <w:b/>
      </w:rPr>
    </w:lvl>
    <w:lvl w:ilvl="4" w:tentative="0">
      <w:start w:val="1"/>
      <w:numFmt w:val="decimal"/>
      <w:lvlText w:val="%1.%2.%3.%4.%5"/>
      <w:lvlJc w:val="left"/>
      <w:pPr>
        <w:ind w:left="1080" w:hanging="1080"/>
      </w:pPr>
      <w:rPr>
        <w:rFonts w:hint="default"/>
        <w:b/>
      </w:rPr>
    </w:lvl>
    <w:lvl w:ilvl="5" w:tentative="0">
      <w:start w:val="1"/>
      <w:numFmt w:val="decimal"/>
      <w:lvlText w:val="%1.%2.%3.%4.%5.%6"/>
      <w:lvlJc w:val="left"/>
      <w:pPr>
        <w:ind w:left="1080" w:hanging="1080"/>
      </w:pPr>
      <w:rPr>
        <w:rFonts w:hint="default"/>
        <w:b/>
      </w:rPr>
    </w:lvl>
    <w:lvl w:ilvl="6" w:tentative="0">
      <w:start w:val="1"/>
      <w:numFmt w:val="decimal"/>
      <w:lvlText w:val="%1.%2.%3.%4.%5.%6.%7"/>
      <w:lvlJc w:val="left"/>
      <w:pPr>
        <w:ind w:left="1080" w:hanging="1080"/>
      </w:pPr>
      <w:rPr>
        <w:rFonts w:hint="default"/>
        <w:b/>
      </w:rPr>
    </w:lvl>
    <w:lvl w:ilvl="7" w:tentative="0">
      <w:start w:val="1"/>
      <w:numFmt w:val="decimal"/>
      <w:lvlText w:val="%1.%2.%3.%4.%5.%6.%7.%8"/>
      <w:lvlJc w:val="left"/>
      <w:pPr>
        <w:ind w:left="1440" w:hanging="1440"/>
      </w:pPr>
      <w:rPr>
        <w:rFonts w:hint="default"/>
        <w:b/>
      </w:rPr>
    </w:lvl>
    <w:lvl w:ilvl="8" w:tentative="0">
      <w:start w:val="1"/>
      <w:numFmt w:val="decimal"/>
      <w:lvlText w:val="%1.%2.%3.%4.%5.%6.%7.%8.%9"/>
      <w:lvlJc w:val="left"/>
      <w:pPr>
        <w:ind w:left="1440" w:hanging="1440"/>
      </w:pPr>
      <w:rPr>
        <w:rFonts w:hint="default"/>
        <w:b/>
      </w:rPr>
    </w:lvl>
  </w:abstractNum>
  <w:abstractNum w:abstractNumId="3">
    <w:nsid w:val="18A65ECC"/>
    <w:multiLevelType w:val="multilevel"/>
    <w:tmpl w:val="18A65ECC"/>
    <w:lvl w:ilvl="0" w:tentative="0">
      <w:start w:val="1"/>
      <w:numFmt w:val="decimal"/>
      <w:lvlText w:val="%1."/>
      <w:lvlJc w:val="left"/>
      <w:pPr>
        <w:ind w:left="420" w:hanging="420"/>
      </w:pPr>
      <w:rPr>
        <w:rFonts w:hint="default" w:ascii="Times New Roman" w:hAnsi="Times New Roman"/>
        <w:b w:val="0"/>
        <w:i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1D9B7336"/>
    <w:multiLevelType w:val="multilevel"/>
    <w:tmpl w:val="1D9B7336"/>
    <w:lvl w:ilvl="0" w:tentative="0">
      <w:start w:val="1"/>
      <w:numFmt w:val="decimal"/>
      <w:lvlText w:val="6.0.%1"/>
      <w:lvlJc w:val="left"/>
      <w:rPr>
        <w:rFonts w:hint="eastAsia"/>
        <w:b/>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21822365"/>
    <w:multiLevelType w:val="multilevel"/>
    <w:tmpl w:val="21822365"/>
    <w:lvl w:ilvl="0" w:tentative="0">
      <w:start w:val="1"/>
      <w:numFmt w:val="decimal"/>
      <w:lvlText w:val="%1"/>
      <w:lvlJc w:val="left"/>
      <w:pPr>
        <w:ind w:left="420" w:hanging="420"/>
      </w:pPr>
      <w:rPr>
        <w:rFonts w:hint="eastAsia" w:ascii="Times New Roman" w:hAnsi="Times New Roman"/>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28F45714"/>
    <w:multiLevelType w:val="multilevel"/>
    <w:tmpl w:val="28F45714"/>
    <w:lvl w:ilvl="0" w:tentative="0">
      <w:start w:val="1"/>
      <w:numFmt w:val="decimal"/>
      <w:lvlText w:val="3.3.%1"/>
      <w:lvlJc w:val="left"/>
      <w:pPr>
        <w:ind w:left="2972" w:hanging="420"/>
      </w:pPr>
      <w:rPr>
        <w:rFonts w:hint="default" w:ascii="Times New Roman" w:hAnsi="Times New Roman"/>
        <w:b/>
        <w:i w:val="0"/>
        <w:sz w:val="21"/>
        <w:szCs w:val="18"/>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29432BA0"/>
    <w:multiLevelType w:val="multilevel"/>
    <w:tmpl w:val="29432BA0"/>
    <w:lvl w:ilvl="0" w:tentative="0">
      <w:start w:val="1"/>
      <w:numFmt w:val="decimal"/>
      <w:lvlText w:val="5.0.%1"/>
      <w:lvlJc w:val="left"/>
      <w:rPr>
        <w:rFonts w:hint="eastAsia"/>
        <w:b/>
        <w:i w:val="0"/>
        <w:sz w:val="24"/>
      </w:rPr>
    </w:lvl>
    <w:lvl w:ilvl="1" w:tentative="0">
      <w:start w:val="1"/>
      <w:numFmt w:val="lowerLetter"/>
      <w:lvlText w:val="%2)"/>
      <w:lvlJc w:val="left"/>
      <w:pPr>
        <w:ind w:left="982" w:hanging="420"/>
      </w:pPr>
    </w:lvl>
    <w:lvl w:ilvl="2" w:tentative="0">
      <w:start w:val="1"/>
      <w:numFmt w:val="lowerRoman"/>
      <w:lvlText w:val="%3."/>
      <w:lvlJc w:val="right"/>
      <w:pPr>
        <w:ind w:left="1402" w:hanging="420"/>
      </w:pPr>
    </w:lvl>
    <w:lvl w:ilvl="3" w:tentative="0">
      <w:start w:val="1"/>
      <w:numFmt w:val="decimal"/>
      <w:lvlText w:val="%4."/>
      <w:lvlJc w:val="left"/>
      <w:pPr>
        <w:ind w:left="1822" w:hanging="420"/>
      </w:pPr>
    </w:lvl>
    <w:lvl w:ilvl="4" w:tentative="0">
      <w:start w:val="1"/>
      <w:numFmt w:val="lowerLetter"/>
      <w:lvlText w:val="%5)"/>
      <w:lvlJc w:val="left"/>
      <w:pPr>
        <w:ind w:left="2242" w:hanging="420"/>
      </w:pPr>
    </w:lvl>
    <w:lvl w:ilvl="5" w:tentative="0">
      <w:start w:val="1"/>
      <w:numFmt w:val="lowerRoman"/>
      <w:lvlText w:val="%6."/>
      <w:lvlJc w:val="right"/>
      <w:pPr>
        <w:ind w:left="2662" w:hanging="420"/>
      </w:pPr>
    </w:lvl>
    <w:lvl w:ilvl="6" w:tentative="0">
      <w:start w:val="1"/>
      <w:numFmt w:val="decimal"/>
      <w:lvlText w:val="%7."/>
      <w:lvlJc w:val="left"/>
      <w:pPr>
        <w:ind w:left="3082" w:hanging="420"/>
      </w:pPr>
    </w:lvl>
    <w:lvl w:ilvl="7" w:tentative="0">
      <w:start w:val="1"/>
      <w:numFmt w:val="lowerLetter"/>
      <w:lvlText w:val="%8)"/>
      <w:lvlJc w:val="left"/>
      <w:pPr>
        <w:ind w:left="3502" w:hanging="420"/>
      </w:pPr>
    </w:lvl>
    <w:lvl w:ilvl="8" w:tentative="0">
      <w:start w:val="1"/>
      <w:numFmt w:val="lowerRoman"/>
      <w:lvlText w:val="%9."/>
      <w:lvlJc w:val="right"/>
      <w:pPr>
        <w:ind w:left="3922" w:hanging="420"/>
      </w:pPr>
    </w:lvl>
  </w:abstractNum>
  <w:abstractNum w:abstractNumId="8">
    <w:nsid w:val="31F70DA5"/>
    <w:multiLevelType w:val="multilevel"/>
    <w:tmpl w:val="31F70DA5"/>
    <w:lvl w:ilvl="0" w:tentative="0">
      <w:start w:val="1"/>
      <w:numFmt w:val="decimal"/>
      <w:lvlText w:val="4.6.%1"/>
      <w:lvlJc w:val="left"/>
      <w:pPr>
        <w:ind w:left="2972" w:hanging="420"/>
      </w:pPr>
      <w:rPr>
        <w:rFonts w:hint="default" w:ascii="Times New Roman" w:hAnsi="Times New Roman"/>
        <w:b/>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3F001C67"/>
    <w:multiLevelType w:val="multilevel"/>
    <w:tmpl w:val="3F001C67"/>
    <w:lvl w:ilvl="0" w:tentative="0">
      <w:start w:val="1"/>
      <w:numFmt w:val="decimal"/>
      <w:lvlText w:val="%1."/>
      <w:lvlJc w:val="left"/>
      <w:pPr>
        <w:ind w:left="420" w:hanging="420"/>
      </w:pPr>
      <w:rPr>
        <w:rFonts w:hint="default" w:ascii="Times New Roman" w:hAnsi="Times New Roman"/>
        <w:b w:val="0"/>
        <w:i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5C5E478B"/>
    <w:multiLevelType w:val="multilevel"/>
    <w:tmpl w:val="5C5E478B"/>
    <w:lvl w:ilvl="0" w:tentative="0">
      <w:start w:val="1"/>
      <w:numFmt w:val="decimal"/>
      <w:lvlText w:val="3.5.%1"/>
      <w:lvlJc w:val="left"/>
      <w:pPr>
        <w:ind w:left="2972" w:hanging="420"/>
      </w:pPr>
      <w:rPr>
        <w:rFonts w:hint="default" w:ascii="Times New Roman" w:hAnsi="Times New Roman"/>
        <w:b/>
        <w:i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77E32309"/>
    <w:multiLevelType w:val="multilevel"/>
    <w:tmpl w:val="77E32309"/>
    <w:lvl w:ilvl="0" w:tentative="0">
      <w:start w:val="1"/>
      <w:numFmt w:val="decimal"/>
      <w:lvlText w:val="%1."/>
      <w:lvlJc w:val="left"/>
      <w:pPr>
        <w:ind w:left="420" w:hanging="420"/>
      </w:pPr>
      <w:rPr>
        <w:rFonts w:hint="default" w:ascii="Times New Roman" w:hAnsi="Times New Roman"/>
        <w:b w:val="0"/>
        <w:i w:val="0"/>
        <w:sz w:val="24"/>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2">
    <w:nsid w:val="7AA85FFC"/>
    <w:multiLevelType w:val="multilevel"/>
    <w:tmpl w:val="7AA85FFC"/>
    <w:lvl w:ilvl="0" w:tentative="0">
      <w:start w:val="1"/>
      <w:numFmt w:val="decimal"/>
      <w:lvlText w:val="%1."/>
      <w:lvlJc w:val="left"/>
      <w:pPr>
        <w:ind w:left="420" w:hanging="420"/>
      </w:pPr>
      <w:rPr>
        <w:rFonts w:hint="default" w:ascii="Times New Roman" w:hAnsi="Times New Roman"/>
        <w:b w:val="0"/>
        <w:i w:val="0"/>
        <w:sz w:val="21"/>
        <w:szCs w:val="21"/>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 w:numId="2">
    <w:abstractNumId w:val="2"/>
  </w:num>
  <w:num w:numId="3">
    <w:abstractNumId w:val="6"/>
  </w:num>
  <w:num w:numId="4">
    <w:abstractNumId w:val="1"/>
  </w:num>
  <w:num w:numId="5">
    <w:abstractNumId w:val="10"/>
  </w:num>
  <w:num w:numId="6">
    <w:abstractNumId w:val="8"/>
  </w:num>
  <w:num w:numId="7">
    <w:abstractNumId w:val="7"/>
  </w:num>
  <w:num w:numId="8">
    <w:abstractNumId w:val="4"/>
  </w:num>
  <w:num w:numId="9">
    <w:abstractNumId w:val="12"/>
  </w:num>
  <w:num w:numId="10">
    <w:abstractNumId w:val="3"/>
  </w:num>
  <w:num w:numId="11">
    <w:abstractNumId w:val="11"/>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4D0"/>
    <w:rsid w:val="00026869"/>
    <w:rsid w:val="00047929"/>
    <w:rsid w:val="00051618"/>
    <w:rsid w:val="00074C4F"/>
    <w:rsid w:val="000A29E6"/>
    <w:rsid w:val="000A675E"/>
    <w:rsid w:val="000D7C0A"/>
    <w:rsid w:val="001036FA"/>
    <w:rsid w:val="0012198B"/>
    <w:rsid w:val="00127BF0"/>
    <w:rsid w:val="00163980"/>
    <w:rsid w:val="0017617A"/>
    <w:rsid w:val="001A10FF"/>
    <w:rsid w:val="001A46E9"/>
    <w:rsid w:val="00205350"/>
    <w:rsid w:val="002078DE"/>
    <w:rsid w:val="00227D62"/>
    <w:rsid w:val="00231B89"/>
    <w:rsid w:val="002321AE"/>
    <w:rsid w:val="00240F2F"/>
    <w:rsid w:val="00242C47"/>
    <w:rsid w:val="00242EAA"/>
    <w:rsid w:val="002A296E"/>
    <w:rsid w:val="002A7183"/>
    <w:rsid w:val="002E3FAC"/>
    <w:rsid w:val="00325258"/>
    <w:rsid w:val="00325743"/>
    <w:rsid w:val="00350E16"/>
    <w:rsid w:val="0035178C"/>
    <w:rsid w:val="003964D1"/>
    <w:rsid w:val="003D434C"/>
    <w:rsid w:val="003F25AB"/>
    <w:rsid w:val="00411C0E"/>
    <w:rsid w:val="004167E3"/>
    <w:rsid w:val="004C5122"/>
    <w:rsid w:val="004E0E92"/>
    <w:rsid w:val="004E6CE7"/>
    <w:rsid w:val="005306A4"/>
    <w:rsid w:val="00532E2F"/>
    <w:rsid w:val="00541DCE"/>
    <w:rsid w:val="00543269"/>
    <w:rsid w:val="00552A84"/>
    <w:rsid w:val="00557CDF"/>
    <w:rsid w:val="00561F11"/>
    <w:rsid w:val="00587FC8"/>
    <w:rsid w:val="00597DDF"/>
    <w:rsid w:val="00600B5C"/>
    <w:rsid w:val="006040E9"/>
    <w:rsid w:val="006106EC"/>
    <w:rsid w:val="006334D0"/>
    <w:rsid w:val="00637698"/>
    <w:rsid w:val="006523C1"/>
    <w:rsid w:val="006E2232"/>
    <w:rsid w:val="006E2CEA"/>
    <w:rsid w:val="00710ACB"/>
    <w:rsid w:val="007133CB"/>
    <w:rsid w:val="00714F74"/>
    <w:rsid w:val="007360BC"/>
    <w:rsid w:val="007652D8"/>
    <w:rsid w:val="00782208"/>
    <w:rsid w:val="00784CF4"/>
    <w:rsid w:val="0078572E"/>
    <w:rsid w:val="007A74AD"/>
    <w:rsid w:val="007B582A"/>
    <w:rsid w:val="007D15D6"/>
    <w:rsid w:val="007D7C6A"/>
    <w:rsid w:val="007E32E6"/>
    <w:rsid w:val="00805BF0"/>
    <w:rsid w:val="008266B9"/>
    <w:rsid w:val="00827B03"/>
    <w:rsid w:val="00831440"/>
    <w:rsid w:val="00834CE8"/>
    <w:rsid w:val="00866A48"/>
    <w:rsid w:val="008B5258"/>
    <w:rsid w:val="008F2D87"/>
    <w:rsid w:val="009138DE"/>
    <w:rsid w:val="00914730"/>
    <w:rsid w:val="0091475F"/>
    <w:rsid w:val="009275B2"/>
    <w:rsid w:val="009277F1"/>
    <w:rsid w:val="009B1D0A"/>
    <w:rsid w:val="009B2A98"/>
    <w:rsid w:val="009D7A23"/>
    <w:rsid w:val="009E59E0"/>
    <w:rsid w:val="00A03659"/>
    <w:rsid w:val="00A6197A"/>
    <w:rsid w:val="00A64015"/>
    <w:rsid w:val="00A71457"/>
    <w:rsid w:val="00A72EBD"/>
    <w:rsid w:val="00A80D3C"/>
    <w:rsid w:val="00A92A33"/>
    <w:rsid w:val="00AB7408"/>
    <w:rsid w:val="00B07841"/>
    <w:rsid w:val="00B119C4"/>
    <w:rsid w:val="00B35AF7"/>
    <w:rsid w:val="00B45C3B"/>
    <w:rsid w:val="00B65244"/>
    <w:rsid w:val="00B660AC"/>
    <w:rsid w:val="00B83D04"/>
    <w:rsid w:val="00B949C6"/>
    <w:rsid w:val="00BD1DB1"/>
    <w:rsid w:val="00BD271B"/>
    <w:rsid w:val="00BD42F7"/>
    <w:rsid w:val="00C0263E"/>
    <w:rsid w:val="00C20EC5"/>
    <w:rsid w:val="00C224AA"/>
    <w:rsid w:val="00C30FB0"/>
    <w:rsid w:val="00C511A2"/>
    <w:rsid w:val="00C722C9"/>
    <w:rsid w:val="00CA44CA"/>
    <w:rsid w:val="00CD0F0D"/>
    <w:rsid w:val="00CE1127"/>
    <w:rsid w:val="00D84420"/>
    <w:rsid w:val="00D87BE2"/>
    <w:rsid w:val="00D90E24"/>
    <w:rsid w:val="00E16F0E"/>
    <w:rsid w:val="00E206C2"/>
    <w:rsid w:val="00EB1F9B"/>
    <w:rsid w:val="00EC7E48"/>
    <w:rsid w:val="00ED04CD"/>
    <w:rsid w:val="00ED7EDA"/>
    <w:rsid w:val="00F444AD"/>
    <w:rsid w:val="00F474B7"/>
    <w:rsid w:val="00F631E7"/>
    <w:rsid w:val="00F65463"/>
    <w:rsid w:val="00FB1F6A"/>
    <w:rsid w:val="00FB3D5C"/>
    <w:rsid w:val="00FC16EF"/>
    <w:rsid w:val="00FE185C"/>
    <w:rsid w:val="02E53B86"/>
    <w:rsid w:val="035501E0"/>
    <w:rsid w:val="040D62A0"/>
    <w:rsid w:val="04630160"/>
    <w:rsid w:val="058A1EAD"/>
    <w:rsid w:val="06DB68F2"/>
    <w:rsid w:val="070D4B14"/>
    <w:rsid w:val="070F1EAC"/>
    <w:rsid w:val="08B17392"/>
    <w:rsid w:val="09A70B8F"/>
    <w:rsid w:val="0CAB5791"/>
    <w:rsid w:val="0CDA6425"/>
    <w:rsid w:val="0FCD0E3A"/>
    <w:rsid w:val="0FEF0FDA"/>
    <w:rsid w:val="133E2F4C"/>
    <w:rsid w:val="13A87A2F"/>
    <w:rsid w:val="144C380A"/>
    <w:rsid w:val="14A77875"/>
    <w:rsid w:val="14C41507"/>
    <w:rsid w:val="15464AC1"/>
    <w:rsid w:val="15804C64"/>
    <w:rsid w:val="17A55698"/>
    <w:rsid w:val="1848215B"/>
    <w:rsid w:val="18BF0373"/>
    <w:rsid w:val="18D131CF"/>
    <w:rsid w:val="18FA6131"/>
    <w:rsid w:val="1A916997"/>
    <w:rsid w:val="1B6D2A7A"/>
    <w:rsid w:val="1B7B1933"/>
    <w:rsid w:val="1C176F21"/>
    <w:rsid w:val="1EC15226"/>
    <w:rsid w:val="1F105371"/>
    <w:rsid w:val="1F355078"/>
    <w:rsid w:val="205B3912"/>
    <w:rsid w:val="207C1F3A"/>
    <w:rsid w:val="20887F2E"/>
    <w:rsid w:val="217C66E4"/>
    <w:rsid w:val="21D762E6"/>
    <w:rsid w:val="2216698C"/>
    <w:rsid w:val="23092B94"/>
    <w:rsid w:val="235B7560"/>
    <w:rsid w:val="238C0891"/>
    <w:rsid w:val="2406469F"/>
    <w:rsid w:val="242C3377"/>
    <w:rsid w:val="24345FE1"/>
    <w:rsid w:val="24D84D15"/>
    <w:rsid w:val="253F4C79"/>
    <w:rsid w:val="262366D9"/>
    <w:rsid w:val="27B9398A"/>
    <w:rsid w:val="28376DAC"/>
    <w:rsid w:val="283A5947"/>
    <w:rsid w:val="287907F1"/>
    <w:rsid w:val="2C3C7464"/>
    <w:rsid w:val="2DFF2871"/>
    <w:rsid w:val="2E045C1C"/>
    <w:rsid w:val="2F5D55AA"/>
    <w:rsid w:val="2FC612DB"/>
    <w:rsid w:val="314B6019"/>
    <w:rsid w:val="324E0DD3"/>
    <w:rsid w:val="347F4381"/>
    <w:rsid w:val="35C23DC6"/>
    <w:rsid w:val="360C609E"/>
    <w:rsid w:val="36F03FF8"/>
    <w:rsid w:val="38D40A4A"/>
    <w:rsid w:val="38E92533"/>
    <w:rsid w:val="39412ED3"/>
    <w:rsid w:val="3B6EF0F4"/>
    <w:rsid w:val="3D692BC9"/>
    <w:rsid w:val="3F773CC4"/>
    <w:rsid w:val="41652492"/>
    <w:rsid w:val="430E341D"/>
    <w:rsid w:val="43B007E5"/>
    <w:rsid w:val="43EA03B2"/>
    <w:rsid w:val="44F45E16"/>
    <w:rsid w:val="45776E34"/>
    <w:rsid w:val="45B319D1"/>
    <w:rsid w:val="4622186C"/>
    <w:rsid w:val="46A81694"/>
    <w:rsid w:val="47C63706"/>
    <w:rsid w:val="486B7C38"/>
    <w:rsid w:val="4CC514B4"/>
    <w:rsid w:val="4D240DCC"/>
    <w:rsid w:val="4F084A70"/>
    <w:rsid w:val="4F5127F7"/>
    <w:rsid w:val="4FB454D4"/>
    <w:rsid w:val="4FC64D1E"/>
    <w:rsid w:val="50CC6768"/>
    <w:rsid w:val="51407B66"/>
    <w:rsid w:val="536D75E4"/>
    <w:rsid w:val="53FE3F71"/>
    <w:rsid w:val="54F01C65"/>
    <w:rsid w:val="55974271"/>
    <w:rsid w:val="55B0452F"/>
    <w:rsid w:val="56A737DA"/>
    <w:rsid w:val="57391AA4"/>
    <w:rsid w:val="591D35E1"/>
    <w:rsid w:val="59A466E4"/>
    <w:rsid w:val="59A6268E"/>
    <w:rsid w:val="5B5FE563"/>
    <w:rsid w:val="5B694796"/>
    <w:rsid w:val="5B905DBE"/>
    <w:rsid w:val="5C40580F"/>
    <w:rsid w:val="5C716C01"/>
    <w:rsid w:val="5DE04EFB"/>
    <w:rsid w:val="5E722370"/>
    <w:rsid w:val="5EB72A18"/>
    <w:rsid w:val="60246C1D"/>
    <w:rsid w:val="60334C4D"/>
    <w:rsid w:val="606C71FB"/>
    <w:rsid w:val="609646C7"/>
    <w:rsid w:val="62D84F9C"/>
    <w:rsid w:val="62E1158A"/>
    <w:rsid w:val="636655B6"/>
    <w:rsid w:val="646577C2"/>
    <w:rsid w:val="648E0F0F"/>
    <w:rsid w:val="653F180D"/>
    <w:rsid w:val="65F52FDD"/>
    <w:rsid w:val="66C23701"/>
    <w:rsid w:val="68971DE1"/>
    <w:rsid w:val="69F27993"/>
    <w:rsid w:val="6A0A2148"/>
    <w:rsid w:val="6D132FD8"/>
    <w:rsid w:val="6DD42AF6"/>
    <w:rsid w:val="6F0D0227"/>
    <w:rsid w:val="6F2271B5"/>
    <w:rsid w:val="70343B97"/>
    <w:rsid w:val="709E12FC"/>
    <w:rsid w:val="71023596"/>
    <w:rsid w:val="717C2AD6"/>
    <w:rsid w:val="72493DD0"/>
    <w:rsid w:val="73825B2C"/>
    <w:rsid w:val="74BD1606"/>
    <w:rsid w:val="75C205F9"/>
    <w:rsid w:val="76AA0C06"/>
    <w:rsid w:val="76BA2177"/>
    <w:rsid w:val="76BD7FB9"/>
    <w:rsid w:val="773706DA"/>
    <w:rsid w:val="791C4AD7"/>
    <w:rsid w:val="7BD5586F"/>
    <w:rsid w:val="7C55771B"/>
    <w:rsid w:val="7DB176AA"/>
    <w:rsid w:val="7DFF8578"/>
    <w:rsid w:val="7EDF9FE0"/>
    <w:rsid w:val="7F7F2F61"/>
    <w:rsid w:val="7FF74E7D"/>
    <w:rsid w:val="ACCFAFA8"/>
    <w:rsid w:val="BFFB89F8"/>
    <w:rsid w:val="DFA342C1"/>
    <w:rsid w:val="DFDFAD3C"/>
    <w:rsid w:val="E7FBE67F"/>
    <w:rsid w:val="FCDC02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99" w:semiHidden="0"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33"/>
    <w:qFormat/>
    <w:uiPriority w:val="0"/>
    <w:pPr>
      <w:keepNext/>
      <w:keepLines/>
      <w:spacing w:before="340" w:after="330" w:line="578" w:lineRule="auto"/>
      <w:outlineLvl w:val="0"/>
    </w:pPr>
    <w:rPr>
      <w:rFonts w:ascii="Times New Roman" w:hAnsi="Times New Roman" w:eastAsia="宋体" w:cs="Times New Roman"/>
      <w:b/>
      <w:bCs/>
      <w:kern w:val="44"/>
      <w:sz w:val="44"/>
      <w:szCs w:val="44"/>
    </w:rPr>
  </w:style>
  <w:style w:type="paragraph" w:styleId="3">
    <w:name w:val="heading 2"/>
    <w:basedOn w:val="1"/>
    <w:next w:val="1"/>
    <w:link w:val="38"/>
    <w:qFormat/>
    <w:uiPriority w:val="0"/>
    <w:pPr>
      <w:keepNext/>
      <w:keepLines/>
      <w:spacing w:before="260" w:after="260" w:line="416" w:lineRule="auto"/>
      <w:outlineLvl w:val="1"/>
    </w:pPr>
    <w:rPr>
      <w:rFonts w:ascii="Arial" w:hAnsi="Arial" w:eastAsia="黑体" w:cs="Times New Roman"/>
      <w:b/>
      <w:bCs/>
      <w:sz w:val="32"/>
      <w:szCs w:val="32"/>
    </w:rPr>
  </w:style>
  <w:style w:type="paragraph" w:styleId="4">
    <w:name w:val="heading 3"/>
    <w:basedOn w:val="1"/>
    <w:next w:val="1"/>
    <w:link w:val="41"/>
    <w:qFormat/>
    <w:uiPriority w:val="0"/>
    <w:pPr>
      <w:keepNext/>
      <w:keepLines/>
      <w:spacing w:before="260" w:after="260" w:line="416" w:lineRule="auto"/>
      <w:outlineLvl w:val="2"/>
    </w:pPr>
    <w:rPr>
      <w:rFonts w:ascii="Times New Roman" w:hAnsi="Times New Roman" w:eastAsia="宋体" w:cs="Times New Roman"/>
      <w:b/>
      <w:bCs/>
      <w:sz w:val="32"/>
      <w:szCs w:val="32"/>
    </w:rPr>
  </w:style>
  <w:style w:type="character" w:default="1" w:styleId="23">
    <w:name w:val="Default Paragraph Font"/>
    <w:semiHidden/>
    <w:unhideWhenUsed/>
    <w:qFormat/>
    <w:uiPriority w:val="1"/>
  </w:style>
  <w:style w:type="table" w:default="1" w:styleId="21">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rPr>
      <w:rFonts w:ascii="Times New Roman" w:hAnsi="Times New Roman" w:eastAsia="宋体" w:cs="Times New Roman"/>
      <w:szCs w:val="24"/>
    </w:rPr>
  </w:style>
  <w:style w:type="paragraph" w:styleId="6">
    <w:name w:val="Document Map"/>
    <w:basedOn w:val="1"/>
    <w:link w:val="53"/>
    <w:semiHidden/>
    <w:qFormat/>
    <w:uiPriority w:val="0"/>
    <w:pPr>
      <w:shd w:val="clear" w:color="auto" w:fill="000080"/>
    </w:pPr>
    <w:rPr>
      <w:rFonts w:ascii="Times New Roman" w:hAnsi="Times New Roman" w:eastAsia="宋体" w:cs="Times New Roman"/>
      <w:szCs w:val="24"/>
    </w:rPr>
  </w:style>
  <w:style w:type="paragraph" w:styleId="7">
    <w:name w:val="annotation text"/>
    <w:basedOn w:val="1"/>
    <w:link w:val="51"/>
    <w:qFormat/>
    <w:uiPriority w:val="99"/>
    <w:pPr>
      <w:jc w:val="left"/>
    </w:pPr>
    <w:rPr>
      <w:szCs w:val="24"/>
    </w:rPr>
  </w:style>
  <w:style w:type="paragraph" w:styleId="8">
    <w:name w:val="toc 5"/>
    <w:basedOn w:val="1"/>
    <w:next w:val="1"/>
    <w:qFormat/>
    <w:uiPriority w:val="0"/>
    <w:pPr>
      <w:ind w:left="1680" w:leftChars="800"/>
    </w:pPr>
    <w:rPr>
      <w:rFonts w:ascii="Times New Roman" w:hAnsi="Times New Roman" w:eastAsia="宋体" w:cs="Times New Roman"/>
      <w:szCs w:val="24"/>
    </w:rPr>
  </w:style>
  <w:style w:type="paragraph" w:styleId="9">
    <w:name w:val="toc 3"/>
    <w:basedOn w:val="1"/>
    <w:next w:val="1"/>
    <w:qFormat/>
    <w:uiPriority w:val="39"/>
    <w:pPr>
      <w:ind w:left="840" w:leftChars="400"/>
    </w:pPr>
    <w:rPr>
      <w:rFonts w:ascii="Times New Roman" w:hAnsi="Times New Roman" w:eastAsia="宋体" w:cs="Times New Roman"/>
      <w:szCs w:val="24"/>
    </w:rPr>
  </w:style>
  <w:style w:type="paragraph" w:styleId="10">
    <w:name w:val="toc 8"/>
    <w:basedOn w:val="1"/>
    <w:next w:val="1"/>
    <w:qFormat/>
    <w:uiPriority w:val="0"/>
    <w:pPr>
      <w:ind w:left="2940" w:leftChars="1400"/>
    </w:pPr>
    <w:rPr>
      <w:rFonts w:ascii="Times New Roman" w:hAnsi="Times New Roman" w:eastAsia="宋体" w:cs="Times New Roman"/>
      <w:szCs w:val="24"/>
    </w:rPr>
  </w:style>
  <w:style w:type="paragraph" w:styleId="11">
    <w:name w:val="Date"/>
    <w:basedOn w:val="1"/>
    <w:next w:val="1"/>
    <w:link w:val="46"/>
    <w:qFormat/>
    <w:uiPriority w:val="0"/>
    <w:pPr>
      <w:ind w:left="100" w:leftChars="2500"/>
    </w:pPr>
    <w:rPr>
      <w:szCs w:val="24"/>
    </w:rPr>
  </w:style>
  <w:style w:type="paragraph" w:styleId="12">
    <w:name w:val="Balloon Text"/>
    <w:basedOn w:val="1"/>
    <w:link w:val="54"/>
    <w:semiHidden/>
    <w:qFormat/>
    <w:uiPriority w:val="0"/>
    <w:rPr>
      <w:rFonts w:ascii="Times New Roman" w:hAnsi="Times New Roman" w:eastAsia="宋体" w:cs="Times New Roman"/>
      <w:sz w:val="18"/>
      <w:szCs w:val="18"/>
    </w:rPr>
  </w:style>
  <w:style w:type="paragraph" w:styleId="13">
    <w:name w:val="footer"/>
    <w:basedOn w:val="1"/>
    <w:link w:val="31"/>
    <w:unhideWhenUsed/>
    <w:qFormat/>
    <w:uiPriority w:val="99"/>
    <w:pPr>
      <w:tabs>
        <w:tab w:val="center" w:pos="4153"/>
        <w:tab w:val="right" w:pos="8306"/>
      </w:tabs>
      <w:snapToGrid w:val="0"/>
      <w:jc w:val="left"/>
    </w:pPr>
    <w:rPr>
      <w:sz w:val="18"/>
      <w:szCs w:val="18"/>
    </w:rPr>
  </w:style>
  <w:style w:type="paragraph" w:styleId="14">
    <w:name w:val="header"/>
    <w:basedOn w:val="1"/>
    <w:link w:val="30"/>
    <w:unhideWhenUsed/>
    <w:qFormat/>
    <w:uiPriority w:val="0"/>
    <w:pPr>
      <w:pBdr>
        <w:bottom w:val="single" w:color="auto" w:sz="6" w:space="1"/>
      </w:pBdr>
      <w:tabs>
        <w:tab w:val="center" w:pos="4153"/>
        <w:tab w:val="right" w:pos="8306"/>
      </w:tabs>
      <w:snapToGrid w:val="0"/>
      <w:jc w:val="center"/>
    </w:pPr>
    <w:rPr>
      <w:sz w:val="18"/>
      <w:szCs w:val="18"/>
    </w:rPr>
  </w:style>
  <w:style w:type="paragraph" w:styleId="15">
    <w:name w:val="toc 1"/>
    <w:basedOn w:val="1"/>
    <w:next w:val="1"/>
    <w:unhideWhenUsed/>
    <w:qFormat/>
    <w:uiPriority w:val="39"/>
    <w:pPr>
      <w:tabs>
        <w:tab w:val="right" w:leader="dot" w:pos="8296"/>
      </w:tabs>
      <w:spacing w:line="360" w:lineRule="auto"/>
      <w:ind w:firstLine="480" w:firstLineChars="200"/>
    </w:pPr>
    <w:rPr>
      <w:rFonts w:ascii="Times New Roman" w:hAnsi="Times New Roman" w:eastAsia="宋体" w:cs="Times New Roman"/>
      <w:i/>
      <w:sz w:val="24"/>
      <w:szCs w:val="20"/>
      <w:u w:val="single"/>
    </w:rPr>
  </w:style>
  <w:style w:type="paragraph" w:styleId="16">
    <w:name w:val="toc 4"/>
    <w:basedOn w:val="1"/>
    <w:next w:val="1"/>
    <w:qFormat/>
    <w:uiPriority w:val="0"/>
    <w:pPr>
      <w:ind w:left="1260" w:leftChars="600"/>
    </w:pPr>
    <w:rPr>
      <w:rFonts w:ascii="Times New Roman" w:hAnsi="Times New Roman" w:eastAsia="宋体" w:cs="Times New Roman"/>
      <w:szCs w:val="24"/>
    </w:rPr>
  </w:style>
  <w:style w:type="paragraph" w:styleId="17">
    <w:name w:val="toc 6"/>
    <w:basedOn w:val="1"/>
    <w:next w:val="1"/>
    <w:qFormat/>
    <w:uiPriority w:val="0"/>
    <w:pPr>
      <w:ind w:left="2100" w:leftChars="1000"/>
    </w:pPr>
    <w:rPr>
      <w:rFonts w:ascii="Times New Roman" w:hAnsi="Times New Roman" w:eastAsia="宋体" w:cs="Times New Roman"/>
      <w:szCs w:val="24"/>
    </w:rPr>
  </w:style>
  <w:style w:type="paragraph" w:styleId="18">
    <w:name w:val="toc 2"/>
    <w:basedOn w:val="1"/>
    <w:next w:val="1"/>
    <w:qFormat/>
    <w:uiPriority w:val="39"/>
    <w:pPr>
      <w:ind w:left="420" w:leftChars="200"/>
    </w:pPr>
    <w:rPr>
      <w:rFonts w:ascii="Times New Roman" w:hAnsi="Times New Roman" w:eastAsia="宋体" w:cs="Times New Roman"/>
      <w:szCs w:val="24"/>
    </w:rPr>
  </w:style>
  <w:style w:type="paragraph" w:styleId="19">
    <w:name w:val="toc 9"/>
    <w:basedOn w:val="1"/>
    <w:next w:val="1"/>
    <w:qFormat/>
    <w:uiPriority w:val="0"/>
    <w:pPr>
      <w:ind w:left="3360" w:leftChars="1600"/>
    </w:pPr>
    <w:rPr>
      <w:rFonts w:ascii="Times New Roman" w:hAnsi="Times New Roman" w:eastAsia="宋体" w:cs="Times New Roman"/>
      <w:szCs w:val="24"/>
    </w:rPr>
  </w:style>
  <w:style w:type="paragraph" w:styleId="20">
    <w:name w:val="annotation subject"/>
    <w:basedOn w:val="7"/>
    <w:next w:val="7"/>
    <w:link w:val="42"/>
    <w:qFormat/>
    <w:uiPriority w:val="0"/>
    <w:rPr>
      <w:b/>
      <w:bCs/>
    </w:rPr>
  </w:style>
  <w:style w:type="table" w:styleId="22">
    <w:name w:val="Table Grid"/>
    <w:basedOn w:val="21"/>
    <w:qFormat/>
    <w:uiPriority w:val="9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24">
    <w:name w:val="Strong"/>
    <w:qFormat/>
    <w:uiPriority w:val="0"/>
    <w:rPr>
      <w:b/>
    </w:rPr>
  </w:style>
  <w:style w:type="character" w:styleId="25">
    <w:name w:val="page number"/>
    <w:qFormat/>
    <w:uiPriority w:val="0"/>
  </w:style>
  <w:style w:type="character" w:styleId="26">
    <w:name w:val="FollowedHyperlink"/>
    <w:qFormat/>
    <w:uiPriority w:val="0"/>
    <w:rPr>
      <w:color w:val="954F72"/>
      <w:u w:val="single"/>
    </w:rPr>
  </w:style>
  <w:style w:type="character" w:styleId="27">
    <w:name w:val="Emphasis"/>
    <w:qFormat/>
    <w:uiPriority w:val="0"/>
    <w:rPr>
      <w:i/>
    </w:rPr>
  </w:style>
  <w:style w:type="character" w:styleId="28">
    <w:name w:val="Hyperlink"/>
    <w:basedOn w:val="23"/>
    <w:unhideWhenUsed/>
    <w:qFormat/>
    <w:uiPriority w:val="99"/>
    <w:rPr>
      <w:color w:val="666666"/>
      <w:u w:val="none"/>
    </w:rPr>
  </w:style>
  <w:style w:type="character" w:styleId="29">
    <w:name w:val="annotation reference"/>
    <w:qFormat/>
    <w:uiPriority w:val="99"/>
    <w:rPr>
      <w:sz w:val="21"/>
      <w:szCs w:val="21"/>
    </w:rPr>
  </w:style>
  <w:style w:type="character" w:customStyle="1" w:styleId="30">
    <w:name w:val="页眉 字符"/>
    <w:basedOn w:val="23"/>
    <w:link w:val="14"/>
    <w:qFormat/>
    <w:uiPriority w:val="0"/>
    <w:rPr>
      <w:sz w:val="18"/>
      <w:szCs w:val="18"/>
    </w:rPr>
  </w:style>
  <w:style w:type="character" w:customStyle="1" w:styleId="31">
    <w:name w:val="页脚 字符"/>
    <w:basedOn w:val="23"/>
    <w:link w:val="13"/>
    <w:qFormat/>
    <w:uiPriority w:val="99"/>
    <w:rPr>
      <w:sz w:val="18"/>
      <w:szCs w:val="18"/>
    </w:rPr>
  </w:style>
  <w:style w:type="paragraph" w:styleId="32">
    <w:name w:val="List Paragraph"/>
    <w:basedOn w:val="1"/>
    <w:qFormat/>
    <w:uiPriority w:val="34"/>
    <w:pPr>
      <w:ind w:firstLine="420" w:firstLineChars="200"/>
    </w:pPr>
  </w:style>
  <w:style w:type="character" w:customStyle="1" w:styleId="33">
    <w:name w:val="标题 1 字符"/>
    <w:basedOn w:val="23"/>
    <w:link w:val="2"/>
    <w:qFormat/>
    <w:uiPriority w:val="0"/>
    <w:rPr>
      <w:rFonts w:ascii="Times New Roman" w:hAnsi="Times New Roman" w:eastAsia="宋体" w:cs="Times New Roman"/>
      <w:b/>
      <w:bCs/>
      <w:kern w:val="44"/>
      <w:sz w:val="44"/>
      <w:szCs w:val="44"/>
    </w:rPr>
  </w:style>
  <w:style w:type="character" w:customStyle="1" w:styleId="34">
    <w:name w:val="apple-converted-space"/>
    <w:basedOn w:val="23"/>
    <w:qFormat/>
    <w:uiPriority w:val="0"/>
  </w:style>
  <w:style w:type="character" w:customStyle="1" w:styleId="35">
    <w:name w:val="段 Char"/>
    <w:link w:val="36"/>
    <w:qFormat/>
    <w:uiPriority w:val="0"/>
    <w:rPr>
      <w:rFonts w:ascii="宋体" w:eastAsia="Times New Roman"/>
    </w:rPr>
  </w:style>
  <w:style w:type="paragraph" w:customStyle="1" w:styleId="36">
    <w:name w:val="段"/>
    <w:link w:val="35"/>
    <w:qFormat/>
    <w:uiPriority w:val="0"/>
    <w:pPr>
      <w:tabs>
        <w:tab w:val="center" w:pos="4201"/>
        <w:tab w:val="right" w:leader="dot" w:pos="9298"/>
      </w:tabs>
      <w:autoSpaceDE w:val="0"/>
      <w:autoSpaceDN w:val="0"/>
      <w:ind w:firstLine="420" w:firstLineChars="200"/>
      <w:jc w:val="both"/>
    </w:pPr>
    <w:rPr>
      <w:rFonts w:ascii="宋体" w:eastAsia="Times New Roman" w:hAnsiTheme="minorHAnsi" w:cstheme="minorBidi"/>
      <w:kern w:val="2"/>
      <w:sz w:val="21"/>
      <w:szCs w:val="22"/>
      <w:lang w:val="en-US" w:eastAsia="zh-CN" w:bidi="ar-SA"/>
    </w:rPr>
  </w:style>
  <w:style w:type="paragraph" w:customStyle="1" w:styleId="37">
    <w:name w:val="一级条标题"/>
    <w:next w:val="36"/>
    <w:qFormat/>
    <w:uiPriority w:val="0"/>
    <w:pPr>
      <w:numPr>
        <w:ilvl w:val="1"/>
        <w:numId w:val="1"/>
      </w:numPr>
      <w:tabs>
        <w:tab w:val="left" w:pos="360"/>
      </w:tabs>
      <w:ind w:left="0" w:firstLine="0"/>
      <w:outlineLvl w:val="2"/>
    </w:pPr>
    <w:rPr>
      <w:rFonts w:ascii="Times New Roman" w:hAnsi="Times New Roman" w:eastAsia="黑体" w:cs="Times New Roman"/>
      <w:kern w:val="0"/>
      <w:sz w:val="21"/>
      <w:szCs w:val="20"/>
      <w:lang w:val="en-US" w:eastAsia="zh-CN" w:bidi="ar-SA"/>
    </w:rPr>
  </w:style>
  <w:style w:type="character" w:customStyle="1" w:styleId="38">
    <w:name w:val="标题 2 字符"/>
    <w:basedOn w:val="23"/>
    <w:link w:val="3"/>
    <w:qFormat/>
    <w:uiPriority w:val="0"/>
    <w:rPr>
      <w:rFonts w:ascii="Arial" w:hAnsi="Arial" w:eastAsia="黑体" w:cs="Times New Roman"/>
      <w:b/>
      <w:bCs/>
      <w:sz w:val="32"/>
      <w:szCs w:val="32"/>
    </w:rPr>
  </w:style>
  <w:style w:type="character" w:customStyle="1" w:styleId="39">
    <w:name w:val="智慧工地--正文 Char"/>
    <w:link w:val="40"/>
    <w:qFormat/>
    <w:uiPriority w:val="0"/>
    <w:rPr>
      <w:rFonts w:ascii="宋体" w:hAnsi="宋体"/>
      <w:sz w:val="24"/>
    </w:rPr>
  </w:style>
  <w:style w:type="paragraph" w:customStyle="1" w:styleId="40">
    <w:name w:val="智慧工地--正文"/>
    <w:basedOn w:val="1"/>
    <w:link w:val="39"/>
    <w:qFormat/>
    <w:uiPriority w:val="0"/>
    <w:pPr>
      <w:spacing w:line="360" w:lineRule="auto"/>
    </w:pPr>
    <w:rPr>
      <w:rFonts w:ascii="宋体" w:hAnsi="宋体"/>
      <w:sz w:val="24"/>
    </w:rPr>
  </w:style>
  <w:style w:type="character" w:customStyle="1" w:styleId="41">
    <w:name w:val="标题 3 字符"/>
    <w:basedOn w:val="23"/>
    <w:link w:val="4"/>
    <w:qFormat/>
    <w:uiPriority w:val="0"/>
    <w:rPr>
      <w:rFonts w:ascii="Times New Roman" w:hAnsi="Times New Roman" w:eastAsia="宋体" w:cs="Times New Roman"/>
      <w:b/>
      <w:bCs/>
      <w:sz w:val="32"/>
      <w:szCs w:val="32"/>
    </w:rPr>
  </w:style>
  <w:style w:type="character" w:customStyle="1" w:styleId="42">
    <w:name w:val="批注主题 字符"/>
    <w:link w:val="20"/>
    <w:qFormat/>
    <w:uiPriority w:val="0"/>
    <w:rPr>
      <w:b/>
      <w:bCs/>
      <w:szCs w:val="24"/>
    </w:rPr>
  </w:style>
  <w:style w:type="character" w:customStyle="1" w:styleId="43">
    <w:name w:val="智慧工地--章 Char"/>
    <w:link w:val="44"/>
    <w:qFormat/>
    <w:uiPriority w:val="0"/>
    <w:rPr>
      <w:rFonts w:ascii="宋体" w:hAnsi="宋体"/>
      <w:b/>
      <w:sz w:val="30"/>
    </w:rPr>
  </w:style>
  <w:style w:type="paragraph" w:customStyle="1" w:styleId="44">
    <w:name w:val="智慧工地--章"/>
    <w:basedOn w:val="1"/>
    <w:next w:val="45"/>
    <w:link w:val="43"/>
    <w:qFormat/>
    <w:uiPriority w:val="0"/>
    <w:pPr>
      <w:spacing w:before="100" w:beforeLines="100" w:after="100" w:afterLines="100"/>
      <w:jc w:val="center"/>
    </w:pPr>
    <w:rPr>
      <w:rFonts w:ascii="宋体" w:hAnsi="宋体"/>
      <w:b/>
      <w:sz w:val="30"/>
    </w:rPr>
  </w:style>
  <w:style w:type="paragraph" w:customStyle="1" w:styleId="45">
    <w:name w:val="智慧工地-节"/>
    <w:basedOn w:val="1"/>
    <w:next w:val="40"/>
    <w:link w:val="50"/>
    <w:qFormat/>
    <w:uiPriority w:val="0"/>
    <w:pPr>
      <w:spacing w:before="100" w:beforeLines="100" w:after="50" w:afterLines="50"/>
      <w:jc w:val="center"/>
    </w:pPr>
    <w:rPr>
      <w:rFonts w:ascii="宋体" w:hAnsi="宋体"/>
      <w:b/>
      <w:sz w:val="24"/>
    </w:rPr>
  </w:style>
  <w:style w:type="character" w:customStyle="1" w:styleId="46">
    <w:name w:val="日期 字符"/>
    <w:link w:val="11"/>
    <w:qFormat/>
    <w:uiPriority w:val="0"/>
    <w:rPr>
      <w:szCs w:val="24"/>
    </w:rPr>
  </w:style>
  <w:style w:type="character" w:customStyle="1" w:styleId="47">
    <w:name w:val="15"/>
    <w:qFormat/>
    <w:uiPriority w:val="0"/>
    <w:rPr>
      <w:rFonts w:hint="default" w:ascii="Times New Roman" w:hAnsi="Times New Roman" w:cs="Times New Roman"/>
      <w:color w:val="0000FF"/>
      <w:u w:val="single"/>
    </w:rPr>
  </w:style>
  <w:style w:type="character" w:customStyle="1" w:styleId="48">
    <w:name w:val="fontstyle01"/>
    <w:qFormat/>
    <w:uiPriority w:val="0"/>
    <w:rPr>
      <w:rFonts w:hint="eastAsia" w:ascii="宋体" w:hAnsi="宋体" w:eastAsia="宋体"/>
      <w:color w:val="000000"/>
      <w:sz w:val="24"/>
      <w:szCs w:val="24"/>
    </w:rPr>
  </w:style>
  <w:style w:type="character" w:customStyle="1" w:styleId="49">
    <w:name w:val="批注文字 Char"/>
    <w:qFormat/>
    <w:uiPriority w:val="99"/>
    <w:rPr>
      <w:kern w:val="2"/>
      <w:sz w:val="21"/>
      <w:szCs w:val="24"/>
    </w:rPr>
  </w:style>
  <w:style w:type="character" w:customStyle="1" w:styleId="50">
    <w:name w:val="智慧工地-节 Char"/>
    <w:link w:val="45"/>
    <w:qFormat/>
    <w:uiPriority w:val="0"/>
    <w:rPr>
      <w:rFonts w:ascii="宋体" w:hAnsi="宋体"/>
      <w:b/>
      <w:sz w:val="24"/>
    </w:rPr>
  </w:style>
  <w:style w:type="character" w:customStyle="1" w:styleId="51">
    <w:name w:val="批注文字 字符"/>
    <w:link w:val="7"/>
    <w:qFormat/>
    <w:uiPriority w:val="99"/>
    <w:rPr>
      <w:szCs w:val="24"/>
    </w:rPr>
  </w:style>
  <w:style w:type="character" w:customStyle="1" w:styleId="52">
    <w:name w:val="批注文字 字符1"/>
    <w:basedOn w:val="23"/>
    <w:semiHidden/>
    <w:qFormat/>
    <w:uiPriority w:val="99"/>
  </w:style>
  <w:style w:type="character" w:customStyle="1" w:styleId="53">
    <w:name w:val="文档结构图 字符"/>
    <w:basedOn w:val="23"/>
    <w:link w:val="6"/>
    <w:semiHidden/>
    <w:qFormat/>
    <w:uiPriority w:val="0"/>
    <w:rPr>
      <w:rFonts w:ascii="Times New Roman" w:hAnsi="Times New Roman" w:eastAsia="宋体" w:cs="Times New Roman"/>
      <w:szCs w:val="24"/>
      <w:shd w:val="clear" w:color="auto" w:fill="000080"/>
    </w:rPr>
  </w:style>
  <w:style w:type="character" w:customStyle="1" w:styleId="54">
    <w:name w:val="批注框文本 字符"/>
    <w:basedOn w:val="23"/>
    <w:link w:val="12"/>
    <w:semiHidden/>
    <w:qFormat/>
    <w:uiPriority w:val="0"/>
    <w:rPr>
      <w:rFonts w:ascii="Times New Roman" w:hAnsi="Times New Roman" w:eastAsia="宋体" w:cs="Times New Roman"/>
      <w:sz w:val="18"/>
      <w:szCs w:val="18"/>
    </w:rPr>
  </w:style>
  <w:style w:type="character" w:customStyle="1" w:styleId="55">
    <w:name w:val="日期 字符1"/>
    <w:basedOn w:val="23"/>
    <w:semiHidden/>
    <w:qFormat/>
    <w:uiPriority w:val="99"/>
  </w:style>
  <w:style w:type="character" w:customStyle="1" w:styleId="56">
    <w:name w:val="批注主题 字符1"/>
    <w:basedOn w:val="52"/>
    <w:semiHidden/>
    <w:qFormat/>
    <w:uiPriority w:val="99"/>
    <w:rPr>
      <w:b/>
      <w:bCs/>
    </w:rPr>
  </w:style>
  <w:style w:type="character" w:customStyle="1" w:styleId="57">
    <w:name w:val="页脚 字符1"/>
    <w:basedOn w:val="23"/>
    <w:semiHidden/>
    <w:qFormat/>
    <w:uiPriority w:val="99"/>
    <w:rPr>
      <w:kern w:val="2"/>
      <w:sz w:val="18"/>
      <w:szCs w:val="18"/>
    </w:rPr>
  </w:style>
  <w:style w:type="paragraph" w:customStyle="1" w:styleId="58">
    <w:name w:val="智慧工地-表"/>
    <w:basedOn w:val="40"/>
    <w:qFormat/>
    <w:uiPriority w:val="0"/>
    <w:pPr>
      <w:jc w:val="left"/>
    </w:pPr>
    <w:rPr>
      <w:rFonts w:eastAsia="宋体" w:cs="Times New Roman"/>
      <w:sz w:val="21"/>
      <w:szCs w:val="24"/>
    </w:rPr>
  </w:style>
  <w:style w:type="paragraph" w:customStyle="1" w:styleId="59">
    <w:name w:val="智慧工地--图表标题"/>
    <w:basedOn w:val="1"/>
    <w:next w:val="40"/>
    <w:qFormat/>
    <w:uiPriority w:val="0"/>
    <w:pPr>
      <w:spacing w:before="50" w:beforeLines="50" w:after="50" w:afterLines="50" w:line="360" w:lineRule="auto"/>
      <w:jc w:val="center"/>
    </w:pPr>
    <w:rPr>
      <w:rFonts w:ascii="宋体" w:hAnsi="宋体" w:eastAsia="宋体" w:cs="Times New Roman"/>
      <w:b/>
      <w:szCs w:val="24"/>
    </w:rPr>
  </w:style>
  <w:style w:type="paragraph" w:customStyle="1" w:styleId="60">
    <w:name w:val="Char"/>
    <w:basedOn w:val="1"/>
    <w:qFormat/>
    <w:uiPriority w:val="0"/>
    <w:pPr>
      <w:tabs>
        <w:tab w:val="left" w:pos="432"/>
      </w:tabs>
      <w:ind w:left="432" w:hanging="432"/>
    </w:pPr>
    <w:rPr>
      <w:rFonts w:ascii="Times New Roman" w:hAnsi="Times New Roman" w:eastAsia="宋体" w:cs="Times New Roman"/>
      <w:szCs w:val="24"/>
    </w:rPr>
  </w:style>
  <w:style w:type="paragraph" w:customStyle="1" w:styleId="61">
    <w:name w:val="p0"/>
    <w:basedOn w:val="1"/>
    <w:qFormat/>
    <w:uiPriority w:val="0"/>
    <w:pPr>
      <w:widowControl/>
    </w:pPr>
    <w:rPr>
      <w:rFonts w:ascii="Calibri" w:hAnsi="Calibri" w:eastAsia="宋体" w:cs="宋体"/>
      <w:kern w:val="0"/>
      <w:szCs w:val="21"/>
    </w:rPr>
  </w:style>
  <w:style w:type="paragraph" w:customStyle="1" w:styleId="62">
    <w:name w:val="列出段落1"/>
    <w:basedOn w:val="1"/>
    <w:qFormat/>
    <w:uiPriority w:val="34"/>
    <w:pPr>
      <w:ind w:firstLine="420" w:firstLineChars="200"/>
    </w:pPr>
    <w:rPr>
      <w:rFonts w:ascii="Calibri" w:hAnsi="Calibri" w:eastAsia="宋体" w:cs="Times New Roman"/>
    </w:rPr>
  </w:style>
  <w:style w:type="paragraph" w:customStyle="1" w:styleId="63">
    <w:name w:val="智慧工地--表头"/>
    <w:basedOn w:val="40"/>
    <w:qFormat/>
    <w:uiPriority w:val="0"/>
    <w:pPr>
      <w:spacing w:before="50" w:beforeLines="50" w:after="50" w:afterLines="50"/>
      <w:jc w:val="center"/>
    </w:pPr>
    <w:rPr>
      <w:rFonts w:eastAsia="宋体" w:cs="Times New Roman"/>
      <w:b/>
      <w:sz w:val="21"/>
      <w:szCs w:val="24"/>
    </w:rPr>
  </w:style>
  <w:style w:type="paragraph" w:customStyle="1" w:styleId="64">
    <w:name w:val="p22"/>
    <w:basedOn w:val="1"/>
    <w:qFormat/>
    <w:uiPriority w:val="0"/>
    <w:pPr>
      <w:widowControl/>
      <w:spacing w:after="120"/>
    </w:pPr>
    <w:rPr>
      <w:rFonts w:ascii="Calibri" w:hAnsi="Calibri" w:eastAsia="宋体" w:cs="宋体"/>
      <w:kern w:val="0"/>
      <w:szCs w:val="21"/>
    </w:rPr>
  </w:style>
  <w:style w:type="paragraph" w:customStyle="1" w:styleId="65">
    <w:name w:val="p21"/>
    <w:basedOn w:val="1"/>
    <w:qFormat/>
    <w:uiPriority w:val="0"/>
    <w:pPr>
      <w:widowControl/>
      <w:spacing w:line="400" w:lineRule="atLeast"/>
    </w:pPr>
    <w:rPr>
      <w:rFonts w:ascii="Calibri" w:hAnsi="Calibri" w:eastAsia="宋体" w:cs="宋体"/>
      <w:kern w:val="0"/>
      <w:sz w:val="28"/>
      <w:szCs w:val="28"/>
    </w:rPr>
  </w:style>
  <w:style w:type="paragraph" w:customStyle="1" w:styleId="66">
    <w:name w:val="Revision"/>
    <w:unhideWhenUsed/>
    <w:qFormat/>
    <w:uiPriority w:val="99"/>
    <w:rPr>
      <w:rFonts w:ascii="Times New Roman" w:hAnsi="Times New Roman" w:eastAsia="宋体" w:cs="Times New Roman"/>
      <w:kern w:val="2"/>
      <w:sz w:val="21"/>
      <w:szCs w:val="24"/>
      <w:lang w:val="en-US" w:eastAsia="zh-CN" w:bidi="ar-SA"/>
    </w:rPr>
  </w:style>
  <w:style w:type="paragraph" w:customStyle="1" w:styleId="67">
    <w:name w:val="p20"/>
    <w:basedOn w:val="1"/>
    <w:qFormat/>
    <w:uiPriority w:val="0"/>
    <w:pPr>
      <w:widowControl/>
      <w:spacing w:line="360" w:lineRule="auto"/>
      <w:ind w:firstLine="420"/>
    </w:pPr>
    <w:rPr>
      <w:rFonts w:ascii="Calibri" w:hAnsi="Calibri" w:eastAsia="宋体" w:cs="宋体"/>
      <w:kern w:val="0"/>
      <w:sz w:val="24"/>
      <w:szCs w:val="24"/>
    </w:rPr>
  </w:style>
  <w:style w:type="paragraph" w:customStyle="1" w:styleId="68">
    <w:name w:val="p18"/>
    <w:basedOn w:val="1"/>
    <w:qFormat/>
    <w:uiPriority w:val="0"/>
    <w:pPr>
      <w:widowControl/>
      <w:spacing w:line="400" w:lineRule="atLeast"/>
      <w:ind w:left="8" w:hanging="8"/>
      <w:jc w:val="center"/>
    </w:pPr>
    <w:rPr>
      <w:rFonts w:ascii="Calibri" w:hAnsi="Calibri" w:eastAsia="宋体" w:cs="宋体"/>
      <w:b/>
      <w:bCs/>
      <w:color w:val="000000"/>
      <w:kern w:val="0"/>
      <w:sz w:val="24"/>
      <w:szCs w:val="24"/>
    </w:rPr>
  </w:style>
  <w:style w:type="paragraph" w:customStyle="1" w:styleId="69">
    <w:name w:val="_Style 73"/>
    <w:basedOn w:val="1"/>
    <w:next w:val="1"/>
    <w:qFormat/>
    <w:uiPriority w:val="39"/>
    <w:rPr>
      <w:rFonts w:ascii="Times New Roman" w:hAnsi="Times New Roman" w:eastAsia="宋体" w:cs="Times New Roman"/>
      <w:szCs w:val="24"/>
    </w:rPr>
  </w:style>
  <w:style w:type="paragraph" w:customStyle="1" w:styleId="70">
    <w:name w:val="p19"/>
    <w:basedOn w:val="1"/>
    <w:qFormat/>
    <w:uiPriority w:val="0"/>
    <w:pPr>
      <w:widowControl/>
      <w:ind w:firstLine="420"/>
    </w:pPr>
    <w:rPr>
      <w:rFonts w:ascii="Calibri" w:hAnsi="Calibri" w:eastAsia="宋体" w:cs="宋体"/>
      <w:kern w:val="0"/>
      <w:szCs w:val="21"/>
    </w:rPr>
  </w:style>
  <w:style w:type="paragraph" w:customStyle="1" w:styleId="71">
    <w:name w:val="智慧工地--【条文说明】"/>
    <w:basedOn w:val="1"/>
    <w:next w:val="40"/>
    <w:qFormat/>
    <w:uiPriority w:val="0"/>
    <w:pPr>
      <w:spacing w:line="360" w:lineRule="auto"/>
    </w:pPr>
    <w:rPr>
      <w:rFonts w:ascii="Times New Roman" w:hAnsi="Times New Roman" w:eastAsia="宋体" w:cs="Times New Roman"/>
      <w:i/>
      <w:szCs w:val="24"/>
    </w:rPr>
  </w:style>
  <w:style w:type="paragraph" w:customStyle="1" w:styleId="72">
    <w:name w:val="p16"/>
    <w:basedOn w:val="1"/>
    <w:qFormat/>
    <w:uiPriority w:val="0"/>
    <w:pPr>
      <w:widowControl/>
      <w:spacing w:before="260" w:after="260" w:line="412" w:lineRule="auto"/>
      <w:jc w:val="center"/>
    </w:pPr>
    <w:rPr>
      <w:rFonts w:ascii="Arial" w:hAnsi="Arial" w:eastAsia="宋体" w:cs="Arial"/>
      <w:b/>
      <w:bCs/>
      <w:kern w:val="0"/>
      <w:sz w:val="28"/>
      <w:szCs w:val="28"/>
    </w:rPr>
  </w:style>
  <w:style w:type="paragraph" w:customStyle="1" w:styleId="73">
    <w:name w:val="正文图标题"/>
    <w:next w:val="36"/>
    <w:qFormat/>
    <w:uiPriority w:val="0"/>
    <w:pPr>
      <w:tabs>
        <w:tab w:val="left" w:pos="360"/>
      </w:tabs>
      <w:spacing w:before="156" w:beforeLines="50" w:after="156" w:afterLines="50"/>
      <w:jc w:val="center"/>
    </w:pPr>
    <w:rPr>
      <w:rFonts w:ascii="黑体" w:hAnsi="Times New Roman" w:eastAsia="黑体" w:cs="Times New Roman"/>
      <w:kern w:val="0"/>
      <w:sz w:val="21"/>
      <w:szCs w:val="20"/>
      <w:lang w:val="en-US" w:eastAsia="zh-CN" w:bidi="ar-SA"/>
    </w:rPr>
  </w:style>
  <w:style w:type="paragraph" w:customStyle="1" w:styleId="74">
    <w:name w:val="_Style 69"/>
    <w:basedOn w:val="15"/>
    <w:next w:val="18"/>
    <w:qFormat/>
    <w:uiPriority w:val="39"/>
    <w:pPr>
      <w:widowControl/>
      <w:tabs>
        <w:tab w:val="right" w:leader="dot" w:pos="9345"/>
        <w:tab w:val="clear" w:pos="8296"/>
      </w:tabs>
      <w:ind w:firstLine="0" w:firstLineChars="0"/>
    </w:pPr>
    <w:rPr>
      <w:rFonts w:ascii="宋体" w:hAnsi="宋体"/>
      <w:i w:val="0"/>
      <w:color w:val="0000FF"/>
      <w:kern w:val="0"/>
      <w:sz w:val="21"/>
      <w:szCs w:val="21"/>
      <w:u w:val="none"/>
    </w:rPr>
  </w:style>
  <w:style w:type="paragraph" w:customStyle="1" w:styleId="75">
    <w:name w:val="_Style 72"/>
    <w:basedOn w:val="1"/>
    <w:next w:val="1"/>
    <w:qFormat/>
    <w:uiPriority w:val="39"/>
    <w:pPr>
      <w:ind w:left="420" w:leftChars="200"/>
    </w:pPr>
    <w:rPr>
      <w:rFonts w:ascii="Times New Roman" w:hAnsi="Times New Roman" w:eastAsia="宋体" w:cs="Times New Roman"/>
      <w:szCs w:val="24"/>
    </w:rPr>
  </w:style>
  <w:style w:type="paragraph" w:customStyle="1" w:styleId="76">
    <w:name w:val="列表段落1"/>
    <w:basedOn w:val="1"/>
    <w:qFormat/>
    <w:uiPriority w:val="34"/>
    <w:pPr>
      <w:ind w:firstLine="420" w:firstLineChars="200"/>
    </w:pPr>
    <w:rPr>
      <w:rFonts w:ascii="Times New Roman" w:hAnsi="Times New Roman" w:eastAsia="宋体" w:cs="Times New Roman"/>
      <w:szCs w:val="24"/>
    </w:rPr>
  </w:style>
  <w:style w:type="paragraph" w:customStyle="1" w:styleId="77">
    <w:name w:val="正文表标题"/>
    <w:next w:val="36"/>
    <w:qFormat/>
    <w:uiPriority w:val="0"/>
    <w:pPr>
      <w:numPr>
        <w:ilvl w:val="0"/>
        <w:numId w:val="2"/>
      </w:numPr>
      <w:tabs>
        <w:tab w:val="left" w:pos="360"/>
        <w:tab w:val="left" w:pos="1280"/>
      </w:tabs>
      <w:spacing w:before="156" w:beforeLines="50" w:after="156" w:afterLines="50"/>
      <w:jc w:val="center"/>
    </w:pPr>
    <w:rPr>
      <w:rFonts w:ascii="黑体" w:hAnsi="Times New Roman" w:eastAsia="黑体" w:cs="Times New Roman"/>
      <w:kern w:val="0"/>
      <w:sz w:val="21"/>
      <w:szCs w:val="20"/>
      <w:lang w:val="en-US" w:eastAsia="zh-CN" w:bidi="ar-SA"/>
    </w:rPr>
  </w:style>
  <w:style w:type="paragraph" w:customStyle="1" w:styleId="78">
    <w:name w:val="TOC Heading"/>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38</Pages>
  <Words>4335</Words>
  <Characters>24716</Characters>
  <Lines>205</Lines>
  <Paragraphs>57</Paragraphs>
  <TotalTime>7</TotalTime>
  <ScaleCrop>false</ScaleCrop>
  <LinksUpToDate>false</LinksUpToDate>
  <CharactersWithSpaces>28994</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2022-04-23T22:22:00Z</dcterms:created>
  <dc:creator>刘林</dc:creator>
  <cp:lastModifiedBy>棒棒糖</cp:lastModifiedBy>
  <dcterms:modified xsi:type="dcterms:W3CDTF">2022-05-07T07:33:33Z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ies>
</file>