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年重庆市装配式建筑预评价公示名单</w:t>
      </w:r>
    </w:p>
    <w:tbl>
      <w:tblPr>
        <w:tblStyle w:val="2"/>
        <w:tblpPr w:leftFromText="180" w:rightFromText="180" w:vertAnchor="text" w:horzAnchor="margin" w:tblpXSpec="center" w:tblpY="226"/>
        <w:tblOverlap w:val="never"/>
        <w:tblW w:w="13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667"/>
        <w:gridCol w:w="1451"/>
        <w:gridCol w:w="851"/>
        <w:gridCol w:w="708"/>
        <w:gridCol w:w="709"/>
        <w:gridCol w:w="4644"/>
        <w:gridCol w:w="884"/>
        <w:gridCol w:w="709"/>
        <w:gridCol w:w="709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426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建筑楼栋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</w:t>
            </w:r>
            <w:r>
              <w:rPr>
                <w:rFonts w:hint="eastAsia"/>
                <w:b/>
                <w:bCs/>
                <w:sz w:val="21"/>
                <w:szCs w:val="21"/>
              </w:rPr>
              <w:t>面积（万㎡）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结构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装配式技术应用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申报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项目所在地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评级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阶段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426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两江新区两路组团C标准分区C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07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、C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04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、C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09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、C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09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地块项目（C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09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地块项目）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7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8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9</w:t>
            </w:r>
            <w:r>
              <w:rPr>
                <w:rFonts w:hint="eastAsia"/>
                <w:bCs/>
                <w:sz w:val="21"/>
                <w:szCs w:val="21"/>
              </w:rPr>
              <w:t>#楼、A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10</w:t>
            </w:r>
            <w:r>
              <w:rPr>
                <w:rFonts w:hint="eastAsia"/>
                <w:bCs/>
                <w:sz w:val="21"/>
                <w:szCs w:val="21"/>
              </w:rPr>
              <w:t>#楼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居住建筑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混凝土结构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主体结构系统采用高精度铝合金模板施工工艺，预制构件采用桁架钢筋混凝土叠合楼板和预制楼梯；预制构件标准化程度较高；非承重围护墙采用自保温蒸压加气混凝土精确砌块薄砌工艺墙体；内隔墙采用蒸压加气混凝土条板（ALC）并匹配蒸压加气混凝土精确砌块，采用内隔墙与管线一体化技术；采用全装修、集成厨房、集成卫生间、管线分离。</w:t>
            </w:r>
          </w:p>
        </w:tc>
        <w:tc>
          <w:tcPr>
            <w:tcW w:w="88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重庆葆悦房地产开发有限公司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两江新区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预评价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426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两江新区两路组团C标准分区C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07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、C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04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、C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09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、C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09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地块项目（C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09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地块项目）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7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8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9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10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12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13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14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15</w:t>
            </w:r>
            <w:r>
              <w:rPr>
                <w:rFonts w:hint="eastAsia"/>
                <w:bCs/>
                <w:sz w:val="21"/>
                <w:szCs w:val="21"/>
              </w:rPr>
              <w:t>#楼、B-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16</w:t>
            </w:r>
            <w:r>
              <w:rPr>
                <w:rFonts w:hint="eastAsia"/>
                <w:bCs/>
                <w:sz w:val="21"/>
                <w:szCs w:val="21"/>
              </w:rPr>
              <w:t>#楼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居住建筑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混凝土结构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主体结构系统采用高精度模板施工工艺，水平构件采用桁架钢筋混凝土叠合楼板、预制楼梯；预制构件标准化程度较高；非承重围护墙采用自保温蒸压加气混凝土精确砌块薄砌工艺墙体；内隔墙采用蒸压加气混凝土条板（ALC），采用内隔墙与管线一体化技术；采用全装修、集成厨房、集成卫生间、管线分离。</w:t>
            </w:r>
          </w:p>
        </w:tc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07802"/>
    <w:rsid w:val="31EF1160"/>
    <w:rsid w:val="409513EA"/>
    <w:rsid w:val="43D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2022-08-02T06:43:00Z</dcterms:created>
  <dc:creator>Administrator</dc:creator>
  <cp:lastModifiedBy>ping</cp:lastModifiedBy>
  <dcterms:modified xsi:type="dcterms:W3CDTF">2022-08-02T10:03:52Z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9A1993BEF9254C898FDCC2BEC9AB1F3C</vt:lpwstr>
  </property>
</Properties>
</file>