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附件</w:t>
      </w:r>
    </w:p>
    <w:p>
      <w:pPr>
        <w:spacing w:line="500" w:lineRule="exact"/>
        <w:jc w:val="center"/>
        <w:rPr>
          <w:rFonts w:hint="eastAsia"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rPr>
        <w:t>重庆市建设领域禁止、限制使用落后技术通告（</w:t>
      </w:r>
      <w:r>
        <w:rPr>
          <w:rFonts w:ascii="方正小标宋_GBK" w:hAnsi="方正小标宋_GBK" w:eastAsia="方正小标宋_GBK" w:cs="方正小标宋_GBK"/>
          <w:color w:val="000000"/>
          <w:kern w:val="0"/>
          <w:sz w:val="44"/>
          <w:szCs w:val="44"/>
        </w:rPr>
        <w:t>20</w:t>
      </w:r>
      <w:r>
        <w:rPr>
          <w:rFonts w:hint="eastAsia" w:ascii="方正小标宋_GBK" w:hAnsi="方正小标宋_GBK" w:eastAsia="方正小标宋_GBK" w:cs="方正小标宋_GBK"/>
          <w:color w:val="000000"/>
          <w:kern w:val="0"/>
          <w:sz w:val="44"/>
          <w:szCs w:val="44"/>
          <w:lang w:val="en-US" w:eastAsia="zh-CN"/>
        </w:rPr>
        <w:t>22</w:t>
      </w:r>
      <w:r>
        <w:rPr>
          <w:rFonts w:hint="eastAsia" w:ascii="方正小标宋_GBK" w:hAnsi="方正小标宋_GBK" w:eastAsia="方正小标宋_GBK" w:cs="方正小标宋_GBK"/>
          <w:color w:val="000000"/>
          <w:kern w:val="0"/>
          <w:sz w:val="44"/>
          <w:szCs w:val="44"/>
        </w:rPr>
        <w:t>年</w:t>
      </w:r>
      <w:r>
        <w:rPr>
          <w:rFonts w:hint="eastAsia" w:ascii="方正小标宋_GBK" w:hAnsi="方正小标宋_GBK" w:eastAsia="方正小标宋_GBK" w:cs="方正小标宋_GBK"/>
          <w:i w:val="0"/>
          <w:iCs w:val="0"/>
          <w:color w:val="000000"/>
          <w:kern w:val="0"/>
          <w:sz w:val="44"/>
          <w:szCs w:val="44"/>
          <w:u w:val="none"/>
          <w:lang w:val="en-US" w:eastAsia="zh-CN" w:bidi="ar"/>
        </w:rPr>
        <w:t>版</w:t>
      </w:r>
      <w:r>
        <w:rPr>
          <w:rFonts w:hint="eastAsia" w:ascii="方正小标宋_GBK" w:hAnsi="方正小标宋_GBK" w:eastAsia="方正小标宋_GBK" w:cs="方正小标宋_GBK"/>
          <w:color w:val="000000"/>
          <w:kern w:val="0"/>
          <w:sz w:val="44"/>
          <w:szCs w:val="44"/>
        </w:rPr>
        <w:t>）</w:t>
      </w:r>
    </w:p>
    <w:p>
      <w:pPr>
        <w:spacing w:line="500" w:lineRule="exact"/>
        <w:jc w:val="center"/>
        <w:rPr>
          <w:rFonts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rPr>
        <w:t>（征求意见稿）</w:t>
      </w:r>
    </w:p>
    <w:tbl>
      <w:tblPr>
        <w:tblStyle w:val="4"/>
        <w:tblW w:w="146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55"/>
        <w:gridCol w:w="672"/>
        <w:gridCol w:w="2013"/>
        <w:gridCol w:w="555"/>
        <w:gridCol w:w="555"/>
        <w:gridCol w:w="2115"/>
        <w:gridCol w:w="2715"/>
        <w:gridCol w:w="2715"/>
        <w:gridCol w:w="27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55"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序号</w:t>
            </w:r>
          </w:p>
        </w:tc>
        <w:tc>
          <w:tcPr>
            <w:tcW w:w="672"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技术分类</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技术名称</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禁止</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限制</w:t>
            </w:r>
          </w:p>
        </w:tc>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技术（性能）指标</w:t>
            </w:r>
          </w:p>
        </w:tc>
        <w:tc>
          <w:tcPr>
            <w:tcW w:w="2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限制、禁止使用范围</w:t>
            </w:r>
          </w:p>
        </w:tc>
        <w:tc>
          <w:tcPr>
            <w:tcW w:w="2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相关理由</w:t>
            </w:r>
          </w:p>
        </w:tc>
        <w:tc>
          <w:tcPr>
            <w:tcW w:w="2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替代技术（产品）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5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w:t>
            </w:r>
          </w:p>
        </w:tc>
        <w:tc>
          <w:tcPr>
            <w:tcW w:w="6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施工技术及机具设备</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人工挖孔灌注桩</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不得用于除以下条件之外的建设工程（因施工技术、现场条件限制不能采用机械成孔的项目，以及开挖孔径</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≥1.2m</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且深度</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≤3m</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的岩石地基成孔项目）。</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作业环境差，安全保障难度大，职业健康危害大。</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机械成孔灌注桩。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旋挖成孔扩底灌注桩</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严禁用于全市建设工程。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成孔扩底质量难以保证，影响桩基承载力和结构安全。</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旋挖成孔非扩底灌注桩等。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3</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塔吊吊泵管浇筑混凝土施工工艺</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严禁用于全市建设工程。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安全风险高，易引发高坠、物体打击与坍塌等事故。</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采用混凝土布料机浇筑混凝土等施工工艺。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4</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砖砌生化池</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严禁用于全市建设工程。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整体性差，易变形渗漏，造成环境污染。</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成品生化池或现浇钢筋混凝土生化池。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5</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混凝土楼梯现浇工艺</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不得用于全市装配式建筑以及装配式建筑重点发展区域和丰都县建筑面积</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≥8</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万</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m</w:t>
            </w:r>
            <w:r>
              <w:rPr>
                <w:rFonts w:hint="default" w:ascii="Times New Roman" w:hAnsi="Times New Roman" w:eastAsia="宋体" w:cs="Times New Roman"/>
                <w:i w:val="0"/>
                <w:iCs w:val="0"/>
                <w:color w:val="000000" w:themeColor="text1"/>
                <w:kern w:val="0"/>
                <w:sz w:val="18"/>
                <w:szCs w:val="18"/>
                <w:u w:val="none"/>
                <w:vertAlign w:val="superscript"/>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（以规划方案一次性批准的建筑面积计）的混凝土结构高层住宅建筑标准层。</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资源综合利用率低，作业环境差，阻碍技术进步。</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预制装配式工艺。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6</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整体焊接止水片对拉丝杆</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不得用于主城都市区有抗渗等级要求的墙体结构。</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易造成外墙渗漏。</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分体式止水丝杆等。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7</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原木模板，竹（木）胶合板模板（采用脲醛树脂为胶粘剂）</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严禁用于全市建设工程。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资源综合利用率低。</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铝合金模板、现浇混凝土免拆模板等。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8</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组合小钢模</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不得用于主城都市区建设工程以及其他区县房屋建筑工程的楼板及剪力墙。</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易漏浆、露筋、爆模，施工效率低。</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铝合金模板、现浇混凝土免拆模板等。</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9</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全铸铁扣件</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．自重＜</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13.2N/</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个的直角型全铸铁扣件；</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br w:type="textWrapping"/>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．自重＜</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14.6N/</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个的旋转型全铸铁扣件；</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br w:type="textWrapping"/>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3</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．自重＜</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18.4N/</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个对接型全铸铁扣件。</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严禁用于全市建设工程。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性能指标难以符合标准要求。</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符合《建筑施工扣件式钢管脚手架安全技术规范》</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JGJ 130</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、《钢管脚手架扣件》</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GB15831</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等要求的扣件。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w:t>
            </w:r>
          </w:p>
        </w:tc>
        <w:tc>
          <w:tcPr>
            <w:tcW w:w="6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施工技术及机具设备</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竹（木）脚手架，扣件式钢管悬挑脚手架，大模板悬挂脚手架</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严禁用于全市建设工程。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整体性差，存在安全隐患。</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符合标准要求的其他脚手架。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5"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11</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普通型附着式升降脚手架（竖向主框架为单片或空间桁架结构，水平支承桁架为空间结构，架体构架为扣件式钢管脚手架，外立面防护采用安全网的附着式升降脚手架）</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严禁用于全市建设工程。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存在安全隐患，影响安全文明施工。</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装配型附着式升降脚手架等。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12</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扣件式钢管悬挑卸料平台、扣件式钢管落地卸料平台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严禁用于全市建设工程。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整体性差，存在安全隐患。</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符合标准要求的型钢卸料平台等其他卸料平台。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13</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门式钢管支撑架</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主架呈</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门</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字型，主要由主框、横框、交叉斜撑、脚手板、可调底座等组成。</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不得用于搭设满堂承重支撑架体系。</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整体稳定性差，存在安全隐患。</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承插型盘扣式钢管支撑架、钢管柱梁式支架、移动模架等。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14</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滑（溜）槽（搁置于脚手架上）</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严禁用于全市建设工程。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存在安全隐患，影响安全文明施工。</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符合标准要求的型钢卸料平台等其他卸料平台。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15</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简易吊（挂）架（用于外墙施工）</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严禁用于全市建设工程。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缺少安全措施，存在安全隐患。</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符合标准要求的电动吊篮、脚手架。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16</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手动吊篮（现场组装）</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严禁用于全市建设工程。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缺少安全措施，存在安全隐患。</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符合标准要求的电动吊篮。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17</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电梯井道内安全平网</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严禁用于全市建设工程。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存在安全隐患，易引发高坠事故。</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符合标准要求的直径为6mm双向钢筋防护网等硬防护。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18</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井架式起重机，</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TQ60/80</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塔式起重机</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严禁用于全市建设工程。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结构性能差，存在安全隐患。</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自升式塔式起重机等。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19</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龙门架物料提升机，扣件式钢管井架物料提升机，物料提升机（采用摩擦式卷扬机驱动）</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严禁用于全市建设工程。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稳定性差，易引发安全事故。</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符合标准要求的施工升降机等其他物料提升机。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20</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自制简易登高用具（高凳、爬梯、人字梯等）</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施工作业高度＞</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2.0m</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严禁用于全市</w:t>
            </w:r>
            <w:r>
              <w:rPr>
                <w:rStyle w:val="19"/>
                <w:color w:val="000000" w:themeColor="text1"/>
                <w:lang w:val="en-US" w:eastAsia="zh-CN" w:bidi="ar"/>
                <w14:textFill>
                  <w14:solidFill>
                    <w14:schemeClr w14:val="tx1"/>
                  </w14:solidFill>
                </w14:textFill>
              </w:rPr>
              <w:t>建设工程</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结构性能差，易引发高坠事故。</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符合标准要求的带止挡装置的工具式定型化产品等登高用具。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21</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空心板、箱型梁气囊内模工艺</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不得用于全市市政基础设施工程。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气囊刚度差，易变形，混凝土成型质量差。</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空心板、箱型梁预制刚性（钢质、</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PVC</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、高密度泡沫等）内模工艺等。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22</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盖梁（系梁）无漏油保险装置的液压千斤顶卸落模板工艺</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不得用于全市市政基础设施工程。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千斤顶易发生漏油、失压故障，导至支架失稳倾覆，施工安全风险高，施工质量难控制。</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砂筒、自锁式液压千斤顶等卸落模板工艺。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23</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顶管工作竖井钢木支架支护施工工艺</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不得用于下列任一条件：</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基坑深度超过</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3</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米；</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地下水位超过基坑底板高度。</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整体稳定性差，存在安全隐患。</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钻孔护壁桩、地下连续墙、沉井、钢格栅锚喷护壁施工工艺等。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24</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桥梁悬浇挂篮上部与底篮精轧螺纹钢吊杆连接工艺</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不得用于下列任一条件：</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前吊点连接；</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其他吊点连接：（</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）上下钢结构直接连接（未穿过混凝土结构）；（</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）与底篮连接未采用活动铰；（</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3</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）吊杆未设外保护套。</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杆件易失效造成挂篮倾覆，存在安全隐患。</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挂篮锰钢吊带连接工艺等。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25</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桥梁悬浇配重式挂篮设备</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不得用于全市市政基础设施工程。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行走操作安装工序繁杂，行走过跨不稳定，存在安全隐患。</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自锚式挂篮设备等。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26</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非数控孔道压浆设备</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严禁用于全市建设工程。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注浆质量不易控制，影响构件整体质量和安全。</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数控压浆设备等。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27</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非数控预应力张拉设备</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严禁用于全市建设工程。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施工标准化程度低，人工作业安全风险大。</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数控预应力张拉设备等。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28</w:t>
            </w:r>
          </w:p>
        </w:tc>
        <w:tc>
          <w:tcPr>
            <w:tcW w:w="6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钢筋及加工</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冷轧带肋钢筋</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非在线热处理工艺生产</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严禁用于全市建设工程。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抗震性能差，影响建筑质量安全。</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采用在线热处理工艺生产的冷轧带肋钢筋</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CRB600H</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系列产品，热轧带肋钢筋</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HRB400</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HRB500</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29</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卷扬机调直钢筋工艺，钢筋调直切断工艺（带有延伸功能）</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严禁用于全市建设工程。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存在安全隐患，质量难以保证。</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无延伸功能的自动化钢筋调直切断工艺。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30</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砂轮切断钢筋工艺</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不得用于施工现场钢筋切割。</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锯片质量难以保证，存在安全隐患。</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自动化钢筋切断工艺。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31</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钢筋切断工艺（采用剪切原理）</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不得用于全市建设工程的钢筋机械连接接头加工。</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钢筋接头截面不平整，影响机械连接接头质量。</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采用锯切原理的钢筋切断工艺。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32</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非自动化钢筋加工设备</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不得用于工厂化钢筋加工。</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加工效率低、加工质量无法保证。</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全自动化钢筋加工设备。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33</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BX1-135</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BX2-500</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交流弧焊机</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严禁用于全市建设工程。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焊接质量难以保证、能耗大。</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逆变电焊机等。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34</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电渣压力焊</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不得用于水平钢筋和倾斜钢筋（斜度大于</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4:1</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）以及直径＞</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28mm</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竖向钢筋的连接。</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焊接质量难以保证，影响钢筋性能。</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钢筋机械连接技术等。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35</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电弧搭接焊，钢筋闪光对焊</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不得用于建设工程中直径</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≥12mm</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的热轧钢筋连接。</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焊接质量难以保证，影响钢筋性能。</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钢筋机械连接技术等。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36</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钢筋网片</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人工绑扎</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不得用于全市桥面路面工程。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质量难以保证，施工效率低。</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钢筋焊接网片等。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37</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施工现场加工箍筋、板筋、纵筋、分布筋</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不得用于主城都市区、万州区、黔江区建设工程。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加工过程材料损耗大，加工质量难以保证。</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成型箍筋、板筋、纵筋、分布筋加工配送。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5"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38</w:t>
            </w:r>
          </w:p>
        </w:tc>
        <w:tc>
          <w:tcPr>
            <w:tcW w:w="6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厨房与卫生间产品</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排烟气道（砖砌，手工生产，采用玻璃纤维网格布做增强材料，采用菱镁材料为原材料生产）</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严禁用于全市建设工程。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生产工艺落后，产品质量难以保证。</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符合《机制排烟气道系统应用技术规程》</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DBJ50/T-212</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、《住宅厨房和卫生间排烟（气）道制品》</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JG/T 194</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等要求的机制排烟气道。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39</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排烟气道防火止回阀（采用可燃材料制作）</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严禁用于全市建设工程。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不符合建筑防火要求。</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符合《机制排烟气道系统应用技术规程》DBJ50/T-212、《住宅厨房和卫生间排烟（气）道制品》JG/T 194等要求的机制排烟气道。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40</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直排式燃气热水器</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严禁用于全市建设工程。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能耗大，安全性差。</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符合标准要求的强排式燃气热水器等热水器。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41</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大便器</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一次用水量＞</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6L</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严禁用于全市建设工程。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浪费水资源。</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符合《节水型生活用水器具》</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CJ/T 164</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要求的大便器。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42</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小便器</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一次用水量＞</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3L</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严禁用于全市建设工程。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浪费水资源。</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符合《节水型生活用水器具》</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CJ/T 164</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要求的小便器。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43</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蹲便器用手接触式（按钮、扳手）大便冲洗阀，手接触式小便冲洗阀</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不得用于独立式公共厕所及公共建筑的厕所。</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易交叉感染。</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符合《节水型生活用水器具》</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CJ/T 164</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要求的自动感应式冲便装置等。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44</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接触式洗手水嘴</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不得用于独立式公共厕所及公共建筑的厕所。</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易交叉感染。</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符合《节水型生活用水器具》</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CJ/T 164</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要求的非接触式水嘴等。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45</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铸铁螺旋升降式水嘴，铸铁截止阀</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严禁用于全市建设工程。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耐久性差，密封效果差。</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符合标准要求的其他水嘴、截止阀。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46</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混凝土水箱，普通钢板水箱</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不得用于生活供水工程。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易附着污物，易污染水质。</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符合标准要求的变频、无负压供水设备等。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47</w:t>
            </w:r>
          </w:p>
        </w:tc>
        <w:tc>
          <w:tcPr>
            <w:tcW w:w="6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混凝土及制品</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现场搅拌混凝土</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不得用于全市范围内建筑面积＞</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1000m²</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或混凝土用量＞</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500m³</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的建设工程（含楼地面保温工程）。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质量难以保证，占用施工场地，污染环境。</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预拌混凝土等。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48</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现场搅拌砂浆</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不得用于全市各区县城区范围内新开工的房屋建筑和市政基础设施工程。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质量难以保证，占用施工场地，污染环境。</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预拌砂浆等。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49</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袋装水泥</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不得用于预拌混凝土和预拌砂浆的生产。</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浪费资源，易污染环境。</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散装水泥。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50</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高碱混凝土膨胀剂</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碱含量＞</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0.75</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严禁用于全市建设工程。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易造成混凝土碱集料反应，影响耐久性。</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符合《混凝土膨胀剂》</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GB/T 23439</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要求的混凝土膨胀剂。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51</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砂浆微沫剂</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严禁用于全市建设工程。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质量难以保证，影响砂浆性能。</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符合标准要求的砂浆外加剂。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52</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有碱速凝剂</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碱含量大于</w:t>
            </w:r>
            <w:r>
              <w:rPr>
                <w:rStyle w:val="20"/>
                <w:rFonts w:eastAsia="宋体"/>
                <w:color w:val="000000" w:themeColor="text1"/>
                <w:lang w:val="en-US" w:eastAsia="zh-CN" w:bidi="ar"/>
                <w14:textFill>
                  <w14:solidFill>
                    <w14:schemeClr w14:val="tx1"/>
                  </w14:solidFill>
                </w14:textFill>
              </w:rPr>
              <w:t>1.0%</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且小于生产厂控制值的速凝剂</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严禁用于全市建设工程。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易发生碱骨料反应，影响结构安全及耐久性。</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溶液型液体无碱速凝剂、悬浮液型液体无碱速凝剂等。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53</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钢筋保护层用砂浆垫块</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不得用于主城区建设工程。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强度低、易移位，难以保证钢筋保护层厚度。</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符合标准要求的混凝土垫块、塑料定位件等。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54</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混凝土马凳、塑料马凳（楼板钢筋支撑用）</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严禁用于全市建设工程。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难以保证楼板钢筋位置。</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Style w:val="19"/>
                <w:color w:val="000000" w:themeColor="text1"/>
                <w:lang w:val="en-US" w:eastAsia="zh-CN" w:bidi="ar"/>
                <w14:textFill>
                  <w14:solidFill>
                    <w14:schemeClr w14:val="tx1"/>
                  </w14:solidFill>
                </w14:textFill>
              </w:rPr>
              <w:t>符合要求的长条钢筋马凳等。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55</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钢筋砖过梁</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严禁用于全市建设工程。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施工质量难以保证，抗震性能差。</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钢筋混凝土过梁。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56</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单立轴行星式强制搅拌机</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不得用于全市建设工程混凝土搅拌。</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搅拌混料不充分，混凝土质量难以保证。</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符合标准要求的其它搅拌机。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57</w:t>
            </w:r>
          </w:p>
        </w:tc>
        <w:tc>
          <w:tcPr>
            <w:tcW w:w="6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门窗与玻璃幕墙</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玻璃幕墙</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不得用于新建住宅、党政机关办公楼、医院门诊急诊楼和病房楼、中小学校、托儿所、幼儿园、老年人建筑二层及以上外墙。</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不利于推进特定环境、特定建筑的玻璃幕墙安全防护工作。</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符合标准要求的其他外墙饰面技术。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58</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全隐框玻璃幕墙</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不得用于人员密集、流动性大的商业中心和交通枢纽、公共文化体育设施等场所，以及临近道路、广场及下部为出入口、人员通道的建筑。</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不利于推进特定环境、特定建筑的玻璃幕墙安全防护工作。</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符合标准要求的其他外墙饰面技术。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59</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防火门窗（现场拼装和涂刷）</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严禁用于全市建设工程。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质量难以保证。</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符合标准要求的成品防火门门窗。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60</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建筑外门窗</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K</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2.8W/</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m</w:t>
            </w:r>
            <w:r>
              <w:rPr>
                <w:rFonts w:hint="default" w:ascii="Times New Roman" w:hAnsi="Times New Roman" w:eastAsia="宋体" w:cs="Times New Roman"/>
                <w:i w:val="0"/>
                <w:iCs w:val="0"/>
                <w:color w:val="000000" w:themeColor="text1"/>
                <w:kern w:val="0"/>
                <w:sz w:val="18"/>
                <w:szCs w:val="18"/>
                <w:u w:val="none"/>
                <w:vertAlign w:val="superscript"/>
                <w:lang w:val="en-US" w:eastAsia="zh-CN" w:bidi="ar"/>
                <w14:textFill>
                  <w14:solidFill>
                    <w14:schemeClr w14:val="tx1"/>
                  </w14:solidFill>
                </w14:textFill>
              </w:rPr>
              <w:t>2</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·K</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不得用于全市有节能要求的建设工程。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节能效果差。</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符合标准要求的其他节能门窗。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61</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塑料窗</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主型材可视面壁厚＜</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2.5mm</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严禁用于全市建设工程。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刚度差，与墙体的连接质量难以保证。</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符合《建筑用塑料窗》</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GB/T 28887</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要求的塑料窗。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62</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塑料门</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主型材可视面壁厚＜</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2.8mm</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严禁用于全市建设工程。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刚度差，与墙体的连接质量难以保证。</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符合《建筑用塑料门》</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GB/T 28886</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要求的塑料门。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63</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单片半钢化玻璃、单片夹丝玻璃</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不得用于玻璃幕墙工程。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安全性差，难以保证人身安全。</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符合标准要求的其他玻璃制品。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64</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钢制膨胀螺栓</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不得用于幕墙主框架与主体结构连接。</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施工质量难以保证，存在安全隐患。</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预埋螺栓或后置化学螺栓等。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65</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单锁点旋压锁</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不得用于民用建筑平开外窗。</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密封不严，外窗气密性无法保证。</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多锁点联动锁闭器。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66</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现场打注结构密封胶施工工艺</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不得用于隐框和半隐框玻璃幕墙工程。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施工质量难以保证。</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室内注胶成型、现场安装等装配式工艺。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67</w:t>
            </w:r>
          </w:p>
        </w:tc>
        <w:tc>
          <w:tcPr>
            <w:tcW w:w="6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保温及墙体材料</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外墙保温系统（薄抹灰系统、仅粘结锚固方式固定的保温装饰一体化系统）</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不得用于全市民用建筑工程。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与墙体粘结效果差，存在脱落的质量安全风险。</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符合标准要求的以粘结锚固托架相结合为固定方式的保温装饰一体化、墙体自保温等保温系统。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68</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玻化微珠无机保温板（采用水玻璃为胶凝材料生产）</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严禁用于全市建设工程。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易泛碱、空鼓、脱落。</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符合《玻化微珠无机保温板建筑保温系统应用技术标准》</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DBJ50/T-314</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等要求的玻化微珠无机保温板。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69</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保温材料（含石棉无机纤维）</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严禁用于全市建设工程。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危害人身健康。</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符合标准要求的其他保温材料。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70</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填充材料（膨胀珍珠岩，蛭石等）</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体积吸水率＞</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20%</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不得用于建筑工程找坡、回填。</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吸水率高，易渗漏。</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符合标准要求的体积吸水率</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≤20%</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的填充材料。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71</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膨胀珍珠岩、膨胀蛭石、海泡石、煤渣、玻化微珠、胶粉聚苯颗粒类保温浆料</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不得用于全市建筑节能工程。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易空鼓开裂，质量难以保证。</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符合标准要求的其他保温材料。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72</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绝热用模塑聚苯乙烯泡沫塑料（</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EPS</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有以下情况之一时：</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br w:type="textWrapping"/>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．表观密度＜</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18kg/m</w:t>
            </w:r>
            <w:r>
              <w:rPr>
                <w:rStyle w:val="21"/>
                <w:rFonts w:eastAsia="宋体"/>
                <w:color w:val="000000" w:themeColor="text1"/>
                <w:lang w:val="en-US" w:eastAsia="zh-CN" w:bidi="ar"/>
                <w14:textFill>
                  <w14:solidFill>
                    <w14:schemeClr w14:val="tx1"/>
                  </w14:solidFill>
                </w14:textFill>
              </w:rPr>
              <w:t>3</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br w:type="textWrapping"/>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．燃烧性能级别低于</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B1</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级。</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不得用于全市建筑节能工程。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存在安全隐患，易引发火灾。</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符合标准要求的其他保温材料。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73</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绝热用挤塑聚苯乙烯泡沫塑料（</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XPS</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燃烧性能级别低于</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B</w:t>
            </w:r>
            <w:r>
              <w:rPr>
                <w:rStyle w:val="22"/>
                <w:rFonts w:eastAsia="宋体"/>
                <w:color w:val="000000" w:themeColor="text1"/>
                <w:lang w:val="en-US" w:eastAsia="zh-CN" w:bidi="ar"/>
                <w14:textFill>
                  <w14:solidFill>
                    <w14:schemeClr w14:val="tx1"/>
                  </w14:solidFill>
                </w14:textFill>
              </w:rPr>
              <w:t>1</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级</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不得用于全市建筑节能工程。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存在安全隐患，易引发火灾。</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符合标准要求的其他保温材料。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74</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外墙保温系统胶粘剂、抹面胶浆（现场配制）</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严禁用于全市建设工程。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质量难以保证，易污染环境。</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符合标准要求的干混胶粘剂、干混抹面胶浆。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75</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聚丙烯酰胺类建筑胶粘剂</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严禁用于全市建设工程。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不耐水，粘结性能差。</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水溶性聚乙烯醇建筑胶粘剂等。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76</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烧结实心砖</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严禁用于全市建设工程（文物、古建除外）。</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资源、能源利用率低。</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符合产业政策和标准要求的墙体材料。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77</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烧结空心砖，烧结空心砌块</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有以下情况之一时：</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br w:type="textWrapping"/>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．导热系数＞</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0.54 W/m·K</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br w:type="textWrapping"/>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．孔洞数</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≤12</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孔；</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br w:type="textWrapping"/>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3</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．宽度方向孔洞排数＜</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5</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排。</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不得用于全市房屋建筑工程。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热工性能差。</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符合标准要求的新型墙体材料。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78</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混凝土小型空心砌块</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宽度方向孔洞排数</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排。</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不得用于全市房屋建筑工程。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热工性能差。</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符合标准要求的新型墙体材料。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79</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玻纤增强水泥（</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GRC</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）空心条板（采用非耐碱玻纤或非低碱水泥生产）</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严禁用于全市建设工程。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耐久性差，质量难以保证。</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符合《建筑隔墙用轻质条板通用技术要求》</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JG/T 169</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等标准要求的轻质条板。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jc w:val="center"/>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80</w:t>
            </w:r>
          </w:p>
        </w:tc>
        <w:tc>
          <w:tcPr>
            <w:tcW w:w="6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饰面材料</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外墙面砖（陶瓷砖）现场粘贴工艺</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不得用于膨胀聚苯板等薄抹灰外墙外保温系统；</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br w:type="textWrapping"/>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不得用于</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20</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层及以上或</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60m</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及以上的建筑外墙（底层或裙楼外墙除外）；</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br w:type="textWrapping"/>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3.</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不得用于公共建筑裙楼外墙。</w:t>
            </w:r>
          </w:p>
        </w:tc>
        <w:tc>
          <w:tcPr>
            <w:tcW w:w="2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现场粘贴质量难以保证，存在安全隐患。</w:t>
            </w:r>
          </w:p>
        </w:tc>
        <w:tc>
          <w:tcPr>
            <w:tcW w:w="2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符合要求的陶瓷砖反打、干挂石材、外墙涂料、</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PVC</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外墙板施工等工艺。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45"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外墙面砖（陶瓷砖）有以下情况之一：</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br w:type="textWrapping"/>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．单块面积＞</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50cm2</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br w:type="textWrapping"/>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．厚度＞</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5mm</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br w:type="textWrapping"/>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3</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．吸水率：干压砖﹥</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0.5%</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，挤压砖﹥</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3%</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br w:type="textWrapping"/>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4</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．单位面积质量﹥</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12kg/m2</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br w:type="textWrapping"/>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5</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．冻融循环</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≤10</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次。</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严禁用于全市建设工程。</w:t>
            </w: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81</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饰面砖水泥砂浆粘贴工艺</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不得用于外墙装饰工程。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粘结质量难以保证，存在安全隐患。</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符合标准要求的胶粘剂（胶泥）等粘结工艺。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82</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天然石材吊顶饰面（水平）干挂工艺</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不得用于人行区域上部工程。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天然石材自重大，安装质量难以保证，存在脱落的安全隐患。</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符合要求的铝塑复合板等轻质饰面材料。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83</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外墙装饰构件（</w:t>
            </w:r>
            <w:r>
              <w:rPr>
                <w:rStyle w:val="23"/>
                <w:rFonts w:ascii="宋体" w:hAnsi="宋体" w:eastAsia="宋体" w:cs="宋体"/>
                <w:color w:val="000000" w:themeColor="text1"/>
                <w:sz w:val="24"/>
                <w:szCs w:val="24"/>
                <w:lang w:val="en-US" w:eastAsia="zh-CN" w:bidi="ar"/>
                <w14:textFill>
                  <w14:solidFill>
                    <w14:schemeClr w14:val="tx1"/>
                  </w14:solidFill>
                </w14:textFill>
              </w:rPr>
              <w:t>GRC</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、有机发泡材料类装饰构件）</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不得用于外墙装饰工程。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耐久性差，防火性能差，质量安全风险大。</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符合要求的烧结发泡陶瓷线条等装饰材料。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45"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84</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外墙涂料</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技术指标低于优等品，或有以下情况之一时：</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br w:type="textWrapping"/>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．耐人工老化性＜</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600h</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br w:type="textWrapping"/>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．耐粘污性（</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5</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次，白色或浅色）＞</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15%</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或五次循环试验后＞</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级；</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br w:type="textWrapping"/>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3</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．耐酸性（</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的</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H2SO3</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48h</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有异常。</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不得用于全市建筑工程外墙。</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易粘污，耐久性差。</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符合《外墙涂料涂饰工程施工及验收规程》</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DBJ50-046</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等要求的涂料。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85</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乙丙乳液系列涂料</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不得用于全市建筑工程外墙。</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耐久性差。</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符合《外墙涂料涂饰工程施工及验收规程》</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DBJ50-046</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等要求的涂料。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86</w:t>
            </w:r>
          </w:p>
        </w:tc>
        <w:tc>
          <w:tcPr>
            <w:tcW w:w="6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饰面材料</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仿瓷内墙涂料（采用聚乙烯醇缩甲醛为基料掺入灰钙粉、太白粉、滑石粉等原料制成）</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严禁用于全市建设工程。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耐水性能差，易污染环境。</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符合《合成树脂乳液内墙涂料》</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GB/T 9756</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要求的内墙涂料。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87</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酚醛、醇酸类油漆</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不得用于室外环境钢结构防腐处理工程。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易污染环境，危害人身健康。</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符合《建筑用钢结构防腐涂料》</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JG/T 224</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要求的防腐涂料。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88</w:t>
            </w:r>
          </w:p>
        </w:tc>
        <w:tc>
          <w:tcPr>
            <w:tcW w:w="6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管材与防水材料</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混凝土排水管，钢筋混凝土排水管，铸铁排水管（刚性接口）</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直径</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≤800mm</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不得用于除以下条件之外的建设工程（顶管法施工与道路下浅埋（管顶覆土厚度</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≤1.0m</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）雨水管等有特殊施工工艺要求的项目）。</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易渗漏，易污染环境。</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符合标准要求的化学管材等。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89</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PVC</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饮用水管材和管件（采用铅盐做稳定剂）</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严禁用于全市建设工程。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易污染环境，危害人身健康。</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符合标准要求的其他管材、管件。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90</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冷镀锌钢管</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不得用于全市民用建筑。</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耐腐蚀性能差。</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符合标准要求的化学管材、不锈钢管材等。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91</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衬塑复合钢管</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不得用于建筑用热水系统。</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耐久性差。</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纤维增强聚丙烯给水管、薄壁不锈钢水管等。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92</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沥青复合胎柔性防水卷材</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严禁用于全市建设工程。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拉力和低温柔度指标低，耐久性差。</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高聚物改性沥青防水卷材、高分子防水卷材等。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93</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再生橡胶改性沥青防水卷材</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严禁用于全市建设工程。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耐久性差。</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高聚物改性沥青防水卷材、高分子防水卷材等。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94</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聚氯乙烯防水卷材（</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S</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型）</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严禁用于全市建设工程。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易污染环境，危害人身健康。</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高聚物改性沥青防水卷材、高分子防水卷材等。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5"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95</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聚乙烯丙纶类防水卷材</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、二次加热复合成型的聚乙烯丙纶类防水卷材。</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、聚乙烯膜层厚度在</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0.5mm</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以下的聚乙烯丙纶类防水卷材。</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3</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、采用再生料生产的聚乙烯丙纶类防水卷材。</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严禁用于全市建设工程。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耐久性差，质量难以保证。</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高聚物改性沥青防水卷材、高分子防水卷材等。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96</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沥青类防水卷材热熔法施工工艺</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不得用于室内施工部位以及深基坑、有施工防火要求的防水工程。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易污染环境，易发生火灾。</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防水涂料、自粘聚合物改性沥青防水卷材施工工艺等。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97</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溶剂型橡胶沥青防水涂料</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严禁用于全市建设工程。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易污染环境，危害人身健康。</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符合标准要求的其他防水涂料。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98</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溶剂型建筑防水涂料</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不得用于建筑室内防水工程。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易污染环境，危害人身健康。</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水性聚氨酯防水涂料、聚合物乳液防水涂料等。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99</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焦油型聚氯乙烯建筑防水接缝材料</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严禁用于全市建设工程。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易污染环境，危害人身健康。</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MS</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改性硅酮密封胶、硅酮密封胶等建筑防水接缝材料。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100</w:t>
            </w:r>
          </w:p>
        </w:tc>
        <w:tc>
          <w:tcPr>
            <w:tcW w:w="6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电气与智能化</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配电箱（无</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3C</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认证）</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严禁用于全市建设工程。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存在用电安全隐患。</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通过国家强制性产品</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3C</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认定，符合《施工现场临时用电安全技术规范》</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JGJ 46</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要求的电箱。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101</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非标移动卷线开关盘</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严禁用于全市建设工程。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存在用电安全隐患。</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通过国家强制性产品</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3C</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认定，符合《施工现场临时用电安全技术规范》</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JGJ 46</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要求的电箱。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102</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瓷插式熔断器</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严禁用于全市建设工程。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安全性差。</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符合标准要求的空气隔离断路器等断路器。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103</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四芯电缆外加一芯，花线（电缆电线类），胶质线电缆</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严禁用于全市建设工程。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存在用电安全隐患。</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符合《施工现场临时用电安全技术规范》</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JGJ 46</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要求的五芯电缆等。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104</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白炽灯，卤素灯</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Style w:val="19"/>
                <w:color w:val="000000" w:themeColor="text1"/>
                <w:lang w:val="en-US" w:eastAsia="zh-CN" w:bidi="ar"/>
                <w14:textFill>
                  <w14:solidFill>
                    <w14:schemeClr w14:val="tx1"/>
                  </w14:solidFill>
                </w14:textFill>
              </w:rPr>
              <w:t>不得用于城市道路、公共区域、公共建筑和成品住宅照明</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能效低，能耗高。</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LED</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灯等绿色节能照明产品。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105</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卤粉荧光灯，荧光灯类一般型电感镇流器</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不得用于低压照明。</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光效低，显色性差，光衰严重；能效低。</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LED</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灯、节能型电感镇流器等绿色节能照明产品。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106</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停车场管理系统（非智能识别型）</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严禁用于全市建设工程。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设备落后，停车效率低。</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符合标准要求的智能识别型停车场管理系统。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107</w:t>
            </w:r>
          </w:p>
        </w:tc>
        <w:tc>
          <w:tcPr>
            <w:tcW w:w="6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其它</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聚丙烯加筋土挡墙拉筋带</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严禁用于全市建设工程。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易老化，变形大，存在质量安全隐患。</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钢塑复合土工带等。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108</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散水暗沟</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不得用于首层有功能房间的室外散水沟。</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不易清理，排水效果差。</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散水明沟等。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109</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砖砌检查井</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严禁用于全市建设工程。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易渗漏，易污染环境。</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装配式混凝土检查井、塑料检查井等。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110</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桥面沥青弹塑体填充式伸缩缝工艺</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不得用于大、中型市政桥梁工程。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高温易变形，热稳定性差，抗老化性能差。</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符合标准要求的其他伸缩缝工艺。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111</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光面路面砖，非透水混凝土步道砖</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不得用于广场、停车场、人行步道工程。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不透水，使用寿命短，影响行人安全。</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符合《透水路面砖和透水路面板》</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GB/T 25993</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要求的透水路面砖和透水路面板。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112</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非耐碱型玻璃纤维网格布</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严禁用于全市建设工程。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耐久性差，质量难以保证。</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符合《耐碱玻璃纤维网布》</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JC/T 841</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要求的耐碱玻璃纤维网布。</w:t>
            </w:r>
          </w:p>
        </w:tc>
      </w:tr>
    </w:tbl>
    <w:p>
      <w:pPr>
        <w:rPr>
          <w:rFonts w:hint="eastAsia" w:ascii="方正楷体_GBK" w:hAnsi="方正小标宋_GBK" w:eastAsia="方正楷体_GBK" w:cs="方正小标宋_GBK"/>
          <w:color w:val="000000"/>
          <w:kern w:val="0"/>
          <w:sz w:val="32"/>
          <w:szCs w:val="32"/>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zNDhhY2MzNGQ2MzdjNTljMDBhMzdjNjBiNjdjOGUifQ=="/>
  </w:docVars>
  <w:rsids>
    <w:rsidRoot w:val="22514403"/>
    <w:rsid w:val="0B246449"/>
    <w:rsid w:val="0D2069A3"/>
    <w:rsid w:val="0D5C45C0"/>
    <w:rsid w:val="11052878"/>
    <w:rsid w:val="21521E4A"/>
    <w:rsid w:val="22514403"/>
    <w:rsid w:val="2350595B"/>
    <w:rsid w:val="2CED6B8B"/>
    <w:rsid w:val="32522710"/>
    <w:rsid w:val="4FC92959"/>
    <w:rsid w:val="530C3017"/>
    <w:rsid w:val="5F91757F"/>
    <w:rsid w:val="628D57F7"/>
    <w:rsid w:val="6B6932A5"/>
    <w:rsid w:val="6E515C8A"/>
    <w:rsid w:val="6F1352D6"/>
    <w:rsid w:val="74315F89"/>
    <w:rsid w:val="76EE28B0"/>
    <w:rsid w:val="7C823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112"/>
    <w:basedOn w:val="5"/>
    <w:qFormat/>
    <w:uiPriority w:val="0"/>
    <w:rPr>
      <w:rFonts w:hint="default" w:ascii="Times New Roman" w:hAnsi="Times New Roman" w:cs="Times New Roman"/>
      <w:color w:val="000000"/>
      <w:sz w:val="44"/>
      <w:szCs w:val="44"/>
      <w:u w:val="none"/>
    </w:rPr>
  </w:style>
  <w:style w:type="character" w:customStyle="1" w:styleId="7">
    <w:name w:val="font31"/>
    <w:basedOn w:val="5"/>
    <w:qFormat/>
    <w:uiPriority w:val="0"/>
    <w:rPr>
      <w:rFonts w:hint="eastAsia" w:ascii="方正小标宋_GBK" w:hAnsi="方正小标宋_GBK" w:eastAsia="方正小标宋_GBK" w:cs="方正小标宋_GBK"/>
      <w:color w:val="000000"/>
      <w:sz w:val="44"/>
      <w:szCs w:val="44"/>
      <w:u w:val="none"/>
    </w:rPr>
  </w:style>
  <w:style w:type="character" w:customStyle="1" w:styleId="8">
    <w:name w:val="font121"/>
    <w:basedOn w:val="5"/>
    <w:qFormat/>
    <w:uiPriority w:val="0"/>
    <w:rPr>
      <w:rFonts w:hint="eastAsia" w:ascii="宋体" w:hAnsi="宋体" w:eastAsia="宋体" w:cs="宋体"/>
      <w:b/>
      <w:bCs/>
      <w:color w:val="000000"/>
      <w:sz w:val="20"/>
      <w:szCs w:val="20"/>
      <w:u w:val="none"/>
    </w:rPr>
  </w:style>
  <w:style w:type="character" w:customStyle="1" w:styleId="9">
    <w:name w:val="font71"/>
    <w:basedOn w:val="5"/>
    <w:qFormat/>
    <w:uiPriority w:val="0"/>
    <w:rPr>
      <w:rFonts w:hint="eastAsia" w:ascii="宋体" w:hAnsi="宋体" w:eastAsia="宋体" w:cs="宋体"/>
      <w:color w:val="000000"/>
      <w:sz w:val="18"/>
      <w:szCs w:val="18"/>
      <w:u w:val="none"/>
    </w:rPr>
  </w:style>
  <w:style w:type="character" w:customStyle="1" w:styleId="10">
    <w:name w:val="font81"/>
    <w:basedOn w:val="5"/>
    <w:qFormat/>
    <w:uiPriority w:val="0"/>
    <w:rPr>
      <w:rFonts w:hint="default" w:ascii="Times New Roman" w:hAnsi="Times New Roman" w:cs="Times New Roman"/>
      <w:color w:val="000000"/>
      <w:sz w:val="18"/>
      <w:szCs w:val="18"/>
      <w:u w:val="none"/>
    </w:rPr>
  </w:style>
  <w:style w:type="character" w:customStyle="1" w:styleId="11">
    <w:name w:val="font131"/>
    <w:basedOn w:val="5"/>
    <w:qFormat/>
    <w:uiPriority w:val="0"/>
    <w:rPr>
      <w:rFonts w:hint="eastAsia" w:ascii="宋体" w:hAnsi="宋体" w:eastAsia="宋体" w:cs="宋体"/>
      <w:color w:val="FF0000"/>
      <w:sz w:val="18"/>
      <w:szCs w:val="18"/>
      <w:u w:val="none"/>
    </w:rPr>
  </w:style>
  <w:style w:type="character" w:customStyle="1" w:styleId="12">
    <w:name w:val="font141"/>
    <w:basedOn w:val="5"/>
    <w:qFormat/>
    <w:uiPriority w:val="0"/>
    <w:rPr>
      <w:rFonts w:hint="default" w:ascii="Times New Roman" w:hAnsi="Times New Roman" w:cs="Times New Roman"/>
      <w:color w:val="000000"/>
      <w:sz w:val="18"/>
      <w:szCs w:val="18"/>
      <w:u w:val="none"/>
      <w:vertAlign w:val="superscript"/>
    </w:rPr>
  </w:style>
  <w:style w:type="character" w:customStyle="1" w:styleId="13">
    <w:name w:val="font61"/>
    <w:basedOn w:val="5"/>
    <w:qFormat/>
    <w:uiPriority w:val="0"/>
    <w:rPr>
      <w:rFonts w:hint="eastAsia" w:ascii="宋体" w:hAnsi="宋体" w:eastAsia="宋体" w:cs="宋体"/>
      <w:color w:val="000000"/>
      <w:sz w:val="18"/>
      <w:szCs w:val="18"/>
      <w:u w:val="none"/>
    </w:rPr>
  </w:style>
  <w:style w:type="character" w:customStyle="1" w:styleId="14">
    <w:name w:val="font101"/>
    <w:basedOn w:val="5"/>
    <w:qFormat/>
    <w:uiPriority w:val="0"/>
    <w:rPr>
      <w:rFonts w:hint="default" w:ascii="Times New Roman" w:hAnsi="Times New Roman" w:cs="Times New Roman"/>
      <w:color w:val="000000"/>
      <w:sz w:val="18"/>
      <w:szCs w:val="18"/>
      <w:u w:val="none"/>
    </w:rPr>
  </w:style>
  <w:style w:type="character" w:customStyle="1" w:styleId="15">
    <w:name w:val="font151"/>
    <w:basedOn w:val="5"/>
    <w:qFormat/>
    <w:uiPriority w:val="0"/>
    <w:rPr>
      <w:rFonts w:hint="default" w:ascii="Times New Roman" w:hAnsi="Times New Roman" w:cs="Times New Roman"/>
      <w:color w:val="000000"/>
      <w:sz w:val="18"/>
      <w:szCs w:val="18"/>
      <w:u w:val="none"/>
      <w:vertAlign w:val="subscript"/>
    </w:rPr>
  </w:style>
  <w:style w:type="character" w:customStyle="1" w:styleId="16">
    <w:name w:val="font161"/>
    <w:basedOn w:val="5"/>
    <w:qFormat/>
    <w:uiPriority w:val="0"/>
    <w:rPr>
      <w:rFonts w:hint="eastAsia" w:ascii="宋体" w:hAnsi="宋体" w:eastAsia="宋体" w:cs="宋体"/>
      <w:color w:val="000000"/>
      <w:sz w:val="18"/>
      <w:szCs w:val="18"/>
      <w:u w:val="none"/>
    </w:rPr>
  </w:style>
  <w:style w:type="character" w:customStyle="1" w:styleId="17">
    <w:name w:val="font91"/>
    <w:basedOn w:val="5"/>
    <w:qFormat/>
    <w:uiPriority w:val="0"/>
    <w:rPr>
      <w:rFonts w:hint="default" w:ascii="Times New Roman" w:hAnsi="Times New Roman" w:cs="Times New Roman"/>
      <w:color w:val="000000"/>
      <w:sz w:val="18"/>
      <w:szCs w:val="18"/>
      <w:u w:val="none"/>
    </w:rPr>
  </w:style>
  <w:style w:type="character" w:customStyle="1" w:styleId="18">
    <w:name w:val="font21"/>
    <w:basedOn w:val="5"/>
    <w:qFormat/>
    <w:uiPriority w:val="0"/>
    <w:rPr>
      <w:rFonts w:hint="eastAsia" w:ascii="方正小标宋_GBK" w:hAnsi="方正小标宋_GBK" w:eastAsia="方正小标宋_GBK" w:cs="方正小标宋_GBK"/>
      <w:color w:val="000000"/>
      <w:sz w:val="44"/>
      <w:szCs w:val="44"/>
      <w:u w:val="none"/>
    </w:rPr>
  </w:style>
  <w:style w:type="character" w:customStyle="1" w:styleId="19">
    <w:name w:val="font171"/>
    <w:basedOn w:val="5"/>
    <w:qFormat/>
    <w:uiPriority w:val="0"/>
    <w:rPr>
      <w:rFonts w:hint="eastAsia" w:ascii="宋体" w:hAnsi="宋体" w:eastAsia="宋体" w:cs="宋体"/>
      <w:color w:val="000000"/>
      <w:sz w:val="18"/>
      <w:szCs w:val="18"/>
      <w:u w:val="none"/>
    </w:rPr>
  </w:style>
  <w:style w:type="character" w:customStyle="1" w:styleId="20">
    <w:name w:val="font111"/>
    <w:basedOn w:val="5"/>
    <w:qFormat/>
    <w:uiPriority w:val="0"/>
    <w:rPr>
      <w:rFonts w:hint="default" w:ascii="Times New Roman" w:hAnsi="Times New Roman" w:cs="Times New Roman"/>
      <w:color w:val="000000"/>
      <w:sz w:val="18"/>
      <w:szCs w:val="18"/>
      <w:u w:val="none"/>
    </w:rPr>
  </w:style>
  <w:style w:type="character" w:customStyle="1" w:styleId="21">
    <w:name w:val="font181"/>
    <w:basedOn w:val="5"/>
    <w:qFormat/>
    <w:uiPriority w:val="0"/>
    <w:rPr>
      <w:rFonts w:hint="default" w:ascii="Times New Roman" w:hAnsi="Times New Roman" w:cs="Times New Roman"/>
      <w:color w:val="000000"/>
      <w:sz w:val="18"/>
      <w:szCs w:val="18"/>
      <w:u w:val="none"/>
      <w:vertAlign w:val="superscript"/>
    </w:rPr>
  </w:style>
  <w:style w:type="character" w:customStyle="1" w:styleId="22">
    <w:name w:val="font191"/>
    <w:basedOn w:val="5"/>
    <w:qFormat/>
    <w:uiPriority w:val="0"/>
    <w:rPr>
      <w:rFonts w:hint="default" w:ascii="Times New Roman" w:hAnsi="Times New Roman" w:cs="Times New Roman"/>
      <w:color w:val="000000"/>
      <w:sz w:val="18"/>
      <w:szCs w:val="18"/>
      <w:u w:val="none"/>
      <w:vertAlign w:val="subscript"/>
    </w:rPr>
  </w:style>
  <w:style w:type="character" w:customStyle="1" w:styleId="23">
    <w:name w:val="font122"/>
    <w:basedOn w:val="5"/>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8023</Words>
  <Characters>8487</Characters>
  <Lines>0</Lines>
  <Paragraphs>0</Paragraphs>
  <TotalTime>16</TotalTime>
  <ScaleCrop>false</ScaleCrop>
  <LinksUpToDate>false</LinksUpToDate>
  <CharactersWithSpaces>8506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2022-10-17T06:35:00Z</dcterms:created>
  <dc:creator>Administrator</dc:creator>
  <cp:lastModifiedBy>钊哥</cp:lastModifiedBy>
  <cp:lastPrinted>2022-10-17T07:53:00Z</cp:lastPrinted>
  <dcterms:modified xsi:type="dcterms:W3CDTF">2022-10-25T02:14:02Z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A584CC9D19814D1A81BE6955A1EF5B27</vt:lpwstr>
  </property>
</Properties>
</file>