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jc w:val="left"/>
        <w:rPr>
          <w:rFonts w:ascii="方正小标宋_GBK" w:hAnsi="黑体" w:eastAsia="方正小标宋_GBK"/>
          <w:b w:val="0"/>
          <w:bCs w:val="0"/>
          <w:color w:val="auto"/>
          <w:sz w:val="36"/>
          <w:szCs w:val="36"/>
        </w:rPr>
      </w:pPr>
      <w:r>
        <w:rPr>
          <w:rFonts w:hint="eastAsia" w:ascii="黑体" w:hAnsi="黑体" w:eastAsia="黑体"/>
          <w:b w:val="0"/>
          <w:bCs w:val="0"/>
          <w:color w:val="auto"/>
          <w:sz w:val="32"/>
          <w:szCs w:val="32"/>
        </w:rPr>
        <w:t>附件2</w:t>
      </w:r>
    </w:p>
    <w:p>
      <w:pPr>
        <w:wordWrap w:val="0"/>
        <w:snapToGrid w:val="0"/>
        <w:jc w:val="center"/>
        <w:rPr>
          <w:rFonts w:ascii="方正小标宋_GBK" w:hAnsi="黑体" w:eastAsia="方正小标宋_GBK"/>
          <w:b w:val="0"/>
          <w:bCs w:val="0"/>
          <w:color w:val="auto"/>
          <w:sz w:val="36"/>
          <w:szCs w:val="36"/>
        </w:rPr>
      </w:pPr>
      <w:bookmarkStart w:id="0" w:name="_GoBack"/>
      <w:r>
        <w:rPr>
          <w:rFonts w:hint="eastAsia" w:ascii="方正小标宋_GBK" w:hAnsi="黑体" w:eastAsia="方正小标宋_GBK"/>
          <w:b w:val="0"/>
          <w:bCs w:val="0"/>
          <w:color w:val="auto"/>
          <w:sz w:val="36"/>
          <w:szCs w:val="36"/>
        </w:rPr>
        <w:t>违法、违规行为的工程项目及其有关责任单位一览表</w:t>
      </w:r>
      <w:bookmarkEnd w:id="0"/>
    </w:p>
    <w:tbl>
      <w:tblPr>
        <w:tblStyle w:val="10"/>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9"/>
        <w:gridCol w:w="3255"/>
        <w:gridCol w:w="1014"/>
        <w:gridCol w:w="851"/>
        <w:gridCol w:w="849"/>
        <w:gridCol w:w="851"/>
        <w:gridCol w:w="851"/>
        <w:gridCol w:w="851"/>
        <w:gridCol w:w="849"/>
        <w:gridCol w:w="889"/>
        <w:gridCol w:w="96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5"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序号</w:t>
            </w:r>
          </w:p>
        </w:tc>
        <w:tc>
          <w:tcPr>
            <w:tcW w:w="282"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项目所在区县</w:t>
            </w:r>
          </w:p>
        </w:tc>
        <w:tc>
          <w:tcPr>
            <w:tcW w:w="1210"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存在主要问题</w:t>
            </w:r>
          </w:p>
        </w:tc>
        <w:tc>
          <w:tcPr>
            <w:tcW w:w="377"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建设单位</w:t>
            </w:r>
          </w:p>
        </w:tc>
        <w:tc>
          <w:tcPr>
            <w:tcW w:w="948" w:type="pct"/>
            <w:gridSpan w:val="3"/>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设计单位</w:t>
            </w:r>
          </w:p>
        </w:tc>
        <w:tc>
          <w:tcPr>
            <w:tcW w:w="948" w:type="pct"/>
            <w:gridSpan w:val="3"/>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审图机构</w:t>
            </w:r>
          </w:p>
        </w:tc>
        <w:tc>
          <w:tcPr>
            <w:tcW w:w="330"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施工单位</w:t>
            </w:r>
          </w:p>
        </w:tc>
        <w:tc>
          <w:tcPr>
            <w:tcW w:w="358"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监理单位</w:t>
            </w:r>
          </w:p>
        </w:tc>
        <w:tc>
          <w:tcPr>
            <w:tcW w:w="298" w:type="pct"/>
            <w:vMerge w:val="restar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5" w:type="pct"/>
            <w:vMerge w:val="continue"/>
            <w:vAlign w:val="center"/>
          </w:tcPr>
          <w:p>
            <w:pPr>
              <w:wordWrap w:val="0"/>
              <w:jc w:val="center"/>
              <w:rPr>
                <w:rFonts w:hint="default" w:ascii="Times New Roman" w:hAnsi="Times New Roman" w:eastAsia="黑体" w:cs="Times New Roman"/>
                <w:b w:val="0"/>
                <w:bCs w:val="0"/>
                <w:color w:val="auto"/>
                <w:kern w:val="0"/>
                <w:sz w:val="24"/>
              </w:rPr>
            </w:pPr>
          </w:p>
        </w:tc>
        <w:tc>
          <w:tcPr>
            <w:tcW w:w="282" w:type="pct"/>
            <w:vMerge w:val="continue"/>
            <w:vAlign w:val="center"/>
          </w:tcPr>
          <w:p>
            <w:pPr>
              <w:wordWrap w:val="0"/>
              <w:jc w:val="center"/>
              <w:rPr>
                <w:rFonts w:hint="default" w:ascii="Times New Roman" w:hAnsi="Times New Roman" w:eastAsia="黑体" w:cs="Times New Roman"/>
                <w:b w:val="0"/>
                <w:bCs w:val="0"/>
                <w:color w:val="auto"/>
                <w:kern w:val="0"/>
                <w:sz w:val="24"/>
              </w:rPr>
            </w:pPr>
          </w:p>
        </w:tc>
        <w:tc>
          <w:tcPr>
            <w:tcW w:w="1210" w:type="pct"/>
            <w:vMerge w:val="continue"/>
            <w:vAlign w:val="center"/>
          </w:tcPr>
          <w:p>
            <w:pPr>
              <w:wordWrap w:val="0"/>
              <w:jc w:val="center"/>
              <w:rPr>
                <w:rFonts w:hint="default" w:ascii="Times New Roman" w:hAnsi="Times New Roman" w:eastAsia="黑体" w:cs="Times New Roman"/>
                <w:b w:val="0"/>
                <w:bCs w:val="0"/>
                <w:color w:val="auto"/>
                <w:kern w:val="0"/>
                <w:sz w:val="24"/>
              </w:rPr>
            </w:pPr>
          </w:p>
        </w:tc>
        <w:tc>
          <w:tcPr>
            <w:tcW w:w="377" w:type="pct"/>
            <w:vMerge w:val="continue"/>
            <w:vAlign w:val="center"/>
          </w:tcPr>
          <w:p>
            <w:pPr>
              <w:wordWrap w:val="0"/>
              <w:jc w:val="center"/>
              <w:rPr>
                <w:rFonts w:hint="default" w:ascii="Times New Roman" w:hAnsi="Times New Roman" w:eastAsia="黑体" w:cs="Times New Roman"/>
                <w:b w:val="0"/>
                <w:bCs w:val="0"/>
                <w:color w:val="auto"/>
                <w:kern w:val="0"/>
                <w:sz w:val="24"/>
              </w:rPr>
            </w:pPr>
          </w:p>
        </w:tc>
        <w:tc>
          <w:tcPr>
            <w:tcW w:w="316" w:type="pc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单位</w:t>
            </w:r>
          </w:p>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名称</w:t>
            </w:r>
          </w:p>
        </w:tc>
        <w:tc>
          <w:tcPr>
            <w:tcW w:w="315" w:type="pc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项目负责人</w:t>
            </w:r>
          </w:p>
        </w:tc>
        <w:tc>
          <w:tcPr>
            <w:tcW w:w="316" w:type="pc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设计人员</w:t>
            </w:r>
          </w:p>
        </w:tc>
        <w:tc>
          <w:tcPr>
            <w:tcW w:w="316" w:type="pc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单位名称</w:t>
            </w:r>
          </w:p>
        </w:tc>
        <w:tc>
          <w:tcPr>
            <w:tcW w:w="316" w:type="pct"/>
            <w:vAlign w:val="center"/>
          </w:tcPr>
          <w:p>
            <w:pPr>
              <w:wordWrap w:val="0"/>
              <w:jc w:val="center"/>
              <w:rPr>
                <w:rFonts w:hint="default" w:ascii="Times New Roman" w:hAnsi="Times New Roman" w:eastAsia="黑体" w:cs="Times New Roman"/>
                <w:b w:val="0"/>
                <w:bCs w:val="0"/>
                <w:color w:val="auto"/>
                <w:kern w:val="0"/>
                <w:sz w:val="24"/>
              </w:rPr>
            </w:pPr>
            <w:r>
              <w:rPr>
                <w:rFonts w:hint="default" w:ascii="Times New Roman" w:hAnsi="Times New Roman" w:eastAsia="黑体" w:cs="Times New Roman"/>
                <w:b w:val="0"/>
                <w:bCs w:val="0"/>
                <w:color w:val="auto"/>
                <w:kern w:val="0"/>
                <w:sz w:val="24"/>
              </w:rPr>
              <w:t>项目负责人</w:t>
            </w:r>
          </w:p>
        </w:tc>
        <w:tc>
          <w:tcPr>
            <w:tcW w:w="315" w:type="pct"/>
            <w:vAlign w:val="center"/>
          </w:tcPr>
          <w:p>
            <w:pPr>
              <w:wordWrap w:val="0"/>
              <w:jc w:val="center"/>
              <w:rPr>
                <w:rFonts w:hint="default" w:ascii="Times New Roman" w:hAnsi="Times New Roman" w:eastAsia="黑体" w:cs="Times New Roman"/>
                <w:b w:val="0"/>
                <w:bCs w:val="0"/>
                <w:color w:val="auto"/>
                <w:kern w:val="0"/>
                <w:sz w:val="24"/>
              </w:rPr>
            </w:pPr>
            <w:r>
              <w:rPr>
                <w:rFonts w:hint="eastAsia" w:eastAsia="黑体" w:cs="Times New Roman"/>
                <w:b w:val="0"/>
                <w:bCs w:val="0"/>
                <w:color w:val="auto"/>
                <w:kern w:val="0"/>
                <w:sz w:val="24"/>
                <w:lang w:eastAsia="zh-CN"/>
              </w:rPr>
              <w:t>审查</w:t>
            </w:r>
            <w:r>
              <w:rPr>
                <w:rFonts w:hint="default" w:ascii="Times New Roman" w:hAnsi="Times New Roman" w:eastAsia="黑体" w:cs="Times New Roman"/>
                <w:b w:val="0"/>
                <w:bCs w:val="0"/>
                <w:color w:val="auto"/>
                <w:kern w:val="0"/>
                <w:sz w:val="24"/>
              </w:rPr>
              <w:t>人员</w:t>
            </w:r>
          </w:p>
        </w:tc>
        <w:tc>
          <w:tcPr>
            <w:tcW w:w="330" w:type="pct"/>
            <w:vMerge w:val="continue"/>
            <w:vAlign w:val="center"/>
          </w:tcPr>
          <w:p>
            <w:pPr>
              <w:wordWrap w:val="0"/>
              <w:jc w:val="center"/>
              <w:rPr>
                <w:rFonts w:hint="default" w:ascii="Times New Roman" w:hAnsi="Times New Roman" w:eastAsia="黑体" w:cs="Times New Roman"/>
                <w:b w:val="0"/>
                <w:bCs w:val="0"/>
                <w:color w:val="auto"/>
                <w:kern w:val="0"/>
                <w:sz w:val="24"/>
              </w:rPr>
            </w:pPr>
          </w:p>
        </w:tc>
        <w:tc>
          <w:tcPr>
            <w:tcW w:w="358" w:type="pct"/>
            <w:vMerge w:val="continue"/>
            <w:vAlign w:val="center"/>
          </w:tcPr>
          <w:p>
            <w:pPr>
              <w:wordWrap w:val="0"/>
              <w:jc w:val="center"/>
              <w:rPr>
                <w:rFonts w:hint="default" w:ascii="Times New Roman" w:hAnsi="Times New Roman" w:eastAsia="黑体" w:cs="Times New Roman"/>
                <w:b w:val="0"/>
                <w:bCs w:val="0"/>
                <w:color w:val="auto"/>
                <w:kern w:val="0"/>
                <w:sz w:val="24"/>
              </w:rPr>
            </w:pPr>
          </w:p>
        </w:tc>
        <w:tc>
          <w:tcPr>
            <w:tcW w:w="298" w:type="pct"/>
            <w:vMerge w:val="continue"/>
            <w:vAlign w:val="center"/>
          </w:tcPr>
          <w:p>
            <w:pPr>
              <w:wordWrap w:val="0"/>
              <w:jc w:val="center"/>
              <w:rPr>
                <w:rFonts w:hint="default" w:ascii="Times New Roman" w:hAnsi="Times New Roman" w:eastAsia="黑体" w:cs="Times New Roman"/>
                <w:b w:val="0"/>
                <w:bCs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45" w:type="pct"/>
            <w:vAlign w:val="center"/>
          </w:tcPr>
          <w:p>
            <w:pPr>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大渡口区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部分外墙未按工程设计图纸进行保温施工，违反《建设工程质量管理条例》第二十八条规定。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重庆市大渡口区中医院</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上海城建市政工程（集团）有限公司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重庆市建筑科学研究院有限公司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2</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荣昌区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未执行工程建设强制性标准《重庆市居住建筑节能65%（绿色建筑）设计标准》DBJ50-071-2020。</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重庆嵘城新地置业有限公司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四川新地平建筑设计咨询有限公司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曹彬、罗军</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杨雨萍</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重庆市兴正建设工程咨询有限公司</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钟志林</w:t>
            </w:r>
          </w:p>
        </w:tc>
        <w:tc>
          <w:tcPr>
            <w:tcW w:w="315" w:type="pct"/>
            <w:vAlign w:val="center"/>
          </w:tcPr>
          <w:p>
            <w:pPr>
              <w:wordWrap w:val="0"/>
              <w:spacing w:line="300" w:lineRule="exact"/>
              <w:jc w:val="center"/>
              <w:rPr>
                <w:rFonts w:hint="default" w:ascii="Times New Roman" w:hAnsi="Times New Roman" w:cs="Times New Roman"/>
                <w:b w:val="0"/>
                <w:bCs w:val="0"/>
                <w:color w:val="auto"/>
              </w:rPr>
            </w:pPr>
            <w:r>
              <w:rPr>
                <w:rFonts w:hint="default" w:ascii="Times New Roman" w:hAnsi="Times New Roman" w:eastAsia="方正仿宋_GBK" w:cs="Times New Roman"/>
                <w:b w:val="0"/>
                <w:bCs w:val="0"/>
                <w:color w:val="auto"/>
                <w:kern w:val="0"/>
                <w:sz w:val="18"/>
                <w:szCs w:val="18"/>
              </w:rPr>
              <w:t>钟志林</w:t>
            </w: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渝建节执〔2022〕302号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3</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kern w:val="0"/>
                <w:sz w:val="18"/>
                <w:szCs w:val="18"/>
              </w:rPr>
              <w:t>荣昌区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部分外墙未按工程设计图纸进行保温施工，违反《建设工程质量管理条例》第二十八条规定。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重庆市荣昌区桂花园小学</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福建嘉宜建筑工程有限公司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重庆兴达建设监理有限公司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4</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kern w:val="0"/>
                <w:sz w:val="18"/>
                <w:szCs w:val="18"/>
              </w:rPr>
              <w:t>荣昌区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设计未采用预制内隔墙板和预制装配式楼板，不符合工程建设强制性标准《重庆市居住建筑节能65%（绿色建筑）设计标准》DBJ50-071-2020规定。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重庆玖科房地产开发有限公司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重庆银桥工程设计（集团）有限公司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朱彬</w:t>
            </w:r>
          </w:p>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丁鹏飞</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重庆缙陵建筑工程施工图审查有限公司</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张朝虎</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唐泗章</w:t>
            </w: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渝建节执〔2022〕304号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5</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潼南区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项目现场使用的施工图为未经审查批准的图纸，违反了《建设工程质量管理条例》中第十一条规定。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重庆市潼南区新城建设管理委员会</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lang w:val="zh-TW"/>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lang w:val="zh-TW"/>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val="zh-TW"/>
              </w:rPr>
              <w:t>中铁十九局集团有限公司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重庆智能工程监理有限公司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6</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九龙坡区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外墙砌体及保温材料未按设计文件要求采购和施工，违反《建设工程质量条例》第十四条、第二十八条和《重庆市建筑节能条例》第三十五条规定。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重庆市九龙坡区疾病预防控制中心</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重庆中航建设（集团）有限公司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重庆财汇工程管理有限公司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7</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涪陵区</w:t>
            </w:r>
          </w:p>
        </w:tc>
        <w:tc>
          <w:tcPr>
            <w:tcW w:w="1210" w:type="pct"/>
            <w:vAlign w:val="center"/>
          </w:tcPr>
          <w:p>
            <w:pPr>
              <w:wordWrap w:val="0"/>
              <w:spacing w:line="300" w:lineRule="exact"/>
              <w:jc w:val="left"/>
              <w:textAlignment w:val="center"/>
              <w:rPr>
                <w:rStyle w:val="23"/>
                <w:rFonts w:hint="default" w:ascii="Times New Roman" w:hAnsi="Times New Roman" w:cs="Times New Roman"/>
                <w:b w:val="0"/>
                <w:bCs w:val="0"/>
                <w:color w:val="auto"/>
                <w:sz w:val="18"/>
                <w:szCs w:val="18"/>
                <w:lang w:bidi="ar"/>
              </w:rPr>
            </w:pPr>
            <w:r>
              <w:rPr>
                <w:rFonts w:hint="default" w:ascii="Times New Roman" w:hAnsi="Times New Roman" w:eastAsia="方正仿宋_GBK" w:cs="Times New Roman"/>
                <w:b w:val="0"/>
                <w:bCs w:val="0"/>
                <w:color w:val="auto"/>
                <w:kern w:val="0"/>
                <w:sz w:val="18"/>
                <w:szCs w:val="18"/>
                <w:lang w:bidi="ar"/>
              </w:rPr>
              <w:t>1.</w:t>
            </w:r>
            <w:r>
              <w:rPr>
                <w:rStyle w:val="22"/>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部分住宅配套公建屋面设计未采取保温措施，违反《重庆市建筑节能条例》第十三条规定；</w:t>
            </w:r>
          </w:p>
          <w:p>
            <w:pPr>
              <w:wordWrap w:val="0"/>
              <w:spacing w:line="300" w:lineRule="exact"/>
              <w:jc w:val="left"/>
              <w:textAlignment w:val="center"/>
              <w:rPr>
                <w:rStyle w:val="23"/>
                <w:rFonts w:hint="default" w:ascii="Times New Roman" w:hAnsi="Times New Roman" w:cs="Times New Roman"/>
                <w:b w:val="0"/>
                <w:bCs w:val="0"/>
                <w:color w:val="auto"/>
                <w:sz w:val="18"/>
                <w:szCs w:val="18"/>
                <w:lang w:bidi="ar"/>
              </w:rPr>
            </w:pPr>
            <w:r>
              <w:rPr>
                <w:rStyle w:val="23"/>
                <w:rFonts w:hint="default" w:ascii="Times New Roman" w:hAnsi="Times New Roman" w:cs="Times New Roman"/>
                <w:b w:val="0"/>
                <w:bCs w:val="0"/>
                <w:color w:val="auto"/>
                <w:sz w:val="18"/>
                <w:szCs w:val="18"/>
                <w:lang w:bidi="ar"/>
              </w:rPr>
              <w:t>2.</w:t>
            </w:r>
            <w:r>
              <w:rPr>
                <w:rStyle w:val="22"/>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部分住宅功能房间外窗可开启面积小于房间地板轴线面积的8%，违反《居住建筑节能65%（绿色建筑）设计标准》（DBJ50-071-2020）第4.2.19条规定；</w:t>
            </w:r>
          </w:p>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Style w:val="23"/>
                <w:rFonts w:hint="default" w:ascii="Times New Roman" w:hAnsi="Times New Roman" w:cs="Times New Roman"/>
                <w:b w:val="0"/>
                <w:bCs w:val="0"/>
                <w:color w:val="auto"/>
                <w:sz w:val="18"/>
                <w:szCs w:val="18"/>
                <w:lang w:bidi="ar"/>
              </w:rPr>
              <w:t>3.</w:t>
            </w:r>
            <w:r>
              <w:rPr>
                <w:rStyle w:val="22"/>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配套公建未采用内隔墙非砌筑，违反《居住建筑节能65%（绿色建筑）设计标准》（DBJ50-071-2020）第3.0.4条。</w:t>
            </w:r>
          </w:p>
        </w:tc>
        <w:tc>
          <w:tcPr>
            <w:tcW w:w="377"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rPr>
              <w:t>重庆碧桂园桥贵房地产开发有限公司</w:t>
            </w:r>
          </w:p>
        </w:tc>
        <w:tc>
          <w:tcPr>
            <w:tcW w:w="316"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rPr>
              <w:t>广东博意建筑设计院有限公司</w:t>
            </w:r>
          </w:p>
        </w:tc>
        <w:tc>
          <w:tcPr>
            <w:tcW w:w="315" w:type="pct"/>
            <w:vAlign w:val="center"/>
          </w:tcPr>
          <w:p>
            <w:pPr>
              <w:spacing w:line="300" w:lineRule="exact"/>
              <w:jc w:val="center"/>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郭晗</w:t>
            </w:r>
          </w:p>
        </w:tc>
        <w:tc>
          <w:tcPr>
            <w:tcW w:w="316" w:type="pct"/>
            <w:vAlign w:val="center"/>
          </w:tcPr>
          <w:p>
            <w:pPr>
              <w:wordWrap w:val="0"/>
              <w:spacing w:line="300" w:lineRule="exact"/>
              <w:jc w:val="center"/>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蒋海川</w:t>
            </w:r>
          </w:p>
        </w:tc>
        <w:tc>
          <w:tcPr>
            <w:tcW w:w="316"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重庆市重设怡信工程技术顾问有限公司</w:t>
            </w:r>
          </w:p>
        </w:tc>
        <w:tc>
          <w:tcPr>
            <w:tcW w:w="316" w:type="pct"/>
            <w:vAlign w:val="center"/>
          </w:tcPr>
          <w:p>
            <w:pPr>
              <w:wordWrap w:val="0"/>
              <w:spacing w:line="300" w:lineRule="exact"/>
              <w:jc w:val="center"/>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龚曼琳</w:t>
            </w:r>
          </w:p>
          <w:p>
            <w:pPr>
              <w:wordWrap w:val="0"/>
              <w:spacing w:line="300" w:lineRule="exact"/>
              <w:jc w:val="center"/>
              <w:textAlignment w:val="center"/>
              <w:rPr>
                <w:rFonts w:hint="default" w:ascii="Times New Roman" w:hAnsi="Times New Roman" w:cs="Times New Roman"/>
                <w:b w:val="0"/>
                <w:bCs w:val="0"/>
                <w:color w:val="auto"/>
              </w:rPr>
            </w:pPr>
          </w:p>
        </w:tc>
        <w:tc>
          <w:tcPr>
            <w:tcW w:w="315" w:type="pct"/>
            <w:vAlign w:val="center"/>
          </w:tcPr>
          <w:p>
            <w:pPr>
              <w:wordWrap w:val="0"/>
              <w:spacing w:line="300" w:lineRule="exact"/>
              <w:jc w:val="center"/>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孙爱民</w:t>
            </w:r>
          </w:p>
          <w:p>
            <w:pPr>
              <w:wordWrap w:val="0"/>
              <w:spacing w:line="300" w:lineRule="exact"/>
              <w:jc w:val="center"/>
              <w:textAlignment w:val="center"/>
              <w:rPr>
                <w:rFonts w:hint="default" w:ascii="Times New Roman" w:hAnsi="Times New Roman" w:eastAsia="方正仿宋_GBK" w:cs="Times New Roman"/>
                <w:b w:val="0"/>
                <w:bCs w:val="0"/>
                <w:color w:val="auto"/>
                <w:sz w:val="18"/>
                <w:szCs w:val="18"/>
              </w:rPr>
            </w:pPr>
          </w:p>
        </w:tc>
        <w:tc>
          <w:tcPr>
            <w:tcW w:w="33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8</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大足</w:t>
            </w:r>
            <w:r>
              <w:rPr>
                <w:rFonts w:hint="default" w:ascii="Times New Roman" w:hAnsi="Times New Roman" w:eastAsia="方正仿宋_GBK" w:cs="Times New Roman"/>
                <w:b w:val="0"/>
                <w:bCs w:val="0"/>
                <w:color w:val="auto"/>
                <w:kern w:val="0"/>
                <w:sz w:val="18"/>
                <w:szCs w:val="18"/>
              </w:rPr>
              <w:t>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Style w:val="23"/>
                <w:rFonts w:hint="default" w:ascii="Times New Roman" w:hAnsi="Times New Roman" w:eastAsia="方正仿宋_GBK" w:cs="Times New Roman"/>
                <w:b w:val="0"/>
                <w:bCs w:val="0"/>
                <w:color w:val="auto"/>
                <w:sz w:val="18"/>
                <w:szCs w:val="18"/>
                <w:lang w:val="en-US" w:eastAsia="zh-CN" w:bidi="ar"/>
              </w:rPr>
              <w:t>1</w:t>
            </w:r>
            <w:r>
              <w:rPr>
                <w:rStyle w:val="23"/>
                <w:rFonts w:hint="default" w:ascii="Times New Roman" w:hAnsi="Times New Roman" w:cs="Times New Roman"/>
                <w:b w:val="0"/>
                <w:bCs w:val="0"/>
                <w:color w:val="auto"/>
                <w:sz w:val="18"/>
                <w:szCs w:val="18"/>
                <w:lang w:bidi="ar"/>
              </w:rPr>
              <w:t>.</w:t>
            </w:r>
            <w:r>
              <w:rPr>
                <w:rStyle w:val="23"/>
                <w:rFonts w:hint="default" w:ascii="Times New Roman" w:hAnsi="Times New Roman" w:cs="Times New Roman"/>
                <w:b w:val="0"/>
                <w:bCs w:val="0"/>
                <w:color w:val="auto"/>
                <w:sz w:val="18"/>
                <w:szCs w:val="18"/>
              </w:rPr>
              <w:t xml:space="preserve"> </w:t>
            </w:r>
            <w:r>
              <w:rPr>
                <w:rStyle w:val="23"/>
                <w:rFonts w:hint="default" w:ascii="Times New Roman" w:hAnsi="Times New Roman" w:cs="Times New Roman"/>
                <w:b w:val="0"/>
                <w:bCs w:val="0"/>
                <w:color w:val="auto"/>
                <w:sz w:val="18"/>
                <w:szCs w:val="18"/>
                <w:lang w:bidi="ar"/>
              </w:rPr>
              <w:t>功能房间机械通风系统未按设计图纸进行施工，违反《重庆市建筑节能条件》第十六条。</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lang w:bidi="zh-TW"/>
              </w:rPr>
              <w:t>重庆棠隆置业有限公司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lang w:bidi="zh-TW"/>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lang w:bidi="zh-TW"/>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lang w:bidi="zh-TW"/>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lang w:bidi="zh-TW"/>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lang w:bidi="zh-TW"/>
              </w:rPr>
              <w:t>重庆三华建筑工程（集团）有限公司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重庆中尊工程咨询</w:t>
            </w:r>
          </w:p>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9</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双桥经开区</w:t>
            </w:r>
          </w:p>
        </w:tc>
        <w:tc>
          <w:tcPr>
            <w:tcW w:w="1210" w:type="pct"/>
            <w:vAlign w:val="center"/>
          </w:tcPr>
          <w:p>
            <w:pPr>
              <w:wordWrap w:val="0"/>
              <w:spacing w:line="300" w:lineRule="exact"/>
              <w:jc w:val="left"/>
              <w:textAlignment w:val="center"/>
              <w:rPr>
                <w:rStyle w:val="23"/>
                <w:rFonts w:hint="default" w:ascii="Times New Roman" w:hAnsi="Times New Roman" w:cs="Times New Roman"/>
                <w:b w:val="0"/>
                <w:bCs w:val="0"/>
                <w:color w:val="auto"/>
                <w:sz w:val="18"/>
                <w:szCs w:val="18"/>
                <w:lang w:bidi="ar"/>
              </w:rPr>
            </w:pPr>
            <w:r>
              <w:rPr>
                <w:rFonts w:hint="default" w:ascii="Times New Roman" w:hAnsi="Times New Roman" w:eastAsia="方正仿宋_GBK" w:cs="Times New Roman"/>
                <w:b w:val="0"/>
                <w:bCs w:val="0"/>
                <w:color w:val="auto"/>
                <w:kern w:val="0"/>
                <w:sz w:val="18"/>
                <w:szCs w:val="18"/>
                <w:lang w:bidi="ar"/>
              </w:rPr>
              <w:t>1.</w:t>
            </w:r>
            <w:r>
              <w:rPr>
                <w:rStyle w:val="24"/>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楼面保温隔声、局部外墙保温材料未按设计文件要求采购和施工，违反《建设工程质量管理条例》第十四条、第二十八条和《重庆市建筑节能条例》第三十五条；</w:t>
            </w:r>
          </w:p>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Style w:val="23"/>
                <w:rFonts w:hint="default" w:ascii="Times New Roman" w:hAnsi="Times New Roman" w:cs="Times New Roman"/>
                <w:b w:val="0"/>
                <w:bCs w:val="0"/>
                <w:color w:val="auto"/>
                <w:sz w:val="18"/>
                <w:szCs w:val="18"/>
                <w:lang w:bidi="ar"/>
              </w:rPr>
              <w:t>2.</w:t>
            </w:r>
            <w:r>
              <w:rPr>
                <w:rStyle w:val="24"/>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部分住宅功能房间外窗可开启面积小于房间地板轴线面积的8%，违反《居住建筑节能65%（绿色建筑）设计标准》（DBJ50-071-2020）第4.2.19条规定。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重庆森昊房地产开发有限公司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盐城市规划市政设计院有限公司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马国兵</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王慧杰</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重庆市进耀建筑工程有限公司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rPr>
              <w:t>重庆弘博工程咨询有限公司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10</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双桥经开区</w:t>
            </w:r>
          </w:p>
        </w:tc>
        <w:tc>
          <w:tcPr>
            <w:tcW w:w="1210" w:type="pct"/>
            <w:vAlign w:val="center"/>
          </w:tcPr>
          <w:p>
            <w:pPr>
              <w:wordWrap w:val="0"/>
              <w:spacing w:line="300" w:lineRule="exact"/>
              <w:jc w:val="left"/>
              <w:textAlignment w:val="center"/>
              <w:rPr>
                <w:rStyle w:val="23"/>
                <w:rFonts w:hint="default" w:ascii="Times New Roman" w:hAnsi="Times New Roman" w:cs="Times New Roman"/>
                <w:b w:val="0"/>
                <w:bCs w:val="0"/>
                <w:color w:val="auto"/>
                <w:sz w:val="18"/>
                <w:szCs w:val="18"/>
                <w:lang w:bidi="ar"/>
              </w:rPr>
            </w:pPr>
            <w:r>
              <w:rPr>
                <w:rStyle w:val="23"/>
                <w:rFonts w:hint="default" w:ascii="Times New Roman" w:hAnsi="Times New Roman" w:cs="Times New Roman"/>
                <w:b w:val="0"/>
                <w:bCs w:val="0"/>
                <w:color w:val="auto"/>
                <w:sz w:val="18"/>
                <w:szCs w:val="18"/>
                <w:lang w:bidi="ar"/>
              </w:rPr>
              <w:t>1.</w:t>
            </w:r>
            <w:r>
              <w:rPr>
                <w:rStyle w:val="24"/>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建筑节能（绿色建筑）设计多处不符合强制性标准DBJ50-052-2020要求，违反《重庆市建筑节能条例》第十三条；</w:t>
            </w:r>
          </w:p>
          <w:p>
            <w:pPr>
              <w:wordWrap w:val="0"/>
              <w:spacing w:line="300" w:lineRule="exact"/>
              <w:jc w:val="left"/>
              <w:textAlignment w:val="center"/>
              <w:rPr>
                <w:rStyle w:val="23"/>
                <w:rFonts w:hint="default" w:ascii="Times New Roman" w:hAnsi="Times New Roman" w:cs="Times New Roman"/>
                <w:b w:val="0"/>
                <w:bCs w:val="0"/>
                <w:color w:val="auto"/>
                <w:sz w:val="18"/>
                <w:szCs w:val="18"/>
                <w:lang w:bidi="ar"/>
              </w:rPr>
            </w:pPr>
            <w:r>
              <w:rPr>
                <w:rStyle w:val="23"/>
                <w:rFonts w:hint="default" w:ascii="Times New Roman" w:hAnsi="Times New Roman" w:cs="Times New Roman"/>
                <w:b w:val="0"/>
                <w:bCs w:val="0"/>
                <w:color w:val="auto"/>
                <w:sz w:val="18"/>
                <w:szCs w:val="18"/>
                <w:lang w:bidi="ar"/>
              </w:rPr>
              <w:t>2.</w:t>
            </w:r>
            <w:r>
              <w:rPr>
                <w:rStyle w:val="24"/>
                <w:rFonts w:hint="default" w:ascii="Times New Roman" w:hAnsi="Times New Roman" w:eastAsia="方正仿宋_GBK" w:cs="Times New Roman"/>
                <w:b w:val="0"/>
                <w:bCs w:val="0"/>
                <w:color w:val="auto"/>
                <w:sz w:val="18"/>
                <w:szCs w:val="18"/>
                <w:lang w:bidi="ar"/>
              </w:rPr>
              <w:t xml:space="preserve"> </w:t>
            </w:r>
            <w:r>
              <w:rPr>
                <w:rStyle w:val="23"/>
                <w:rFonts w:hint="default" w:ascii="Times New Roman" w:hAnsi="Times New Roman" w:cs="Times New Roman"/>
                <w:b w:val="0"/>
                <w:bCs w:val="0"/>
                <w:color w:val="auto"/>
                <w:sz w:val="18"/>
                <w:szCs w:val="18"/>
                <w:lang w:bidi="ar"/>
              </w:rPr>
              <w:t>建筑西向窗墙比大于0.3，未设置自遮阳，活动外遮阳等措施，违反DBJ50-052-2020第4.2.16条；</w:t>
            </w:r>
          </w:p>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Style w:val="23"/>
                <w:rFonts w:hint="default" w:ascii="Times New Roman" w:hAnsi="Times New Roman" w:cs="Times New Roman"/>
                <w:b w:val="0"/>
                <w:bCs w:val="0"/>
                <w:color w:val="auto"/>
                <w:sz w:val="18"/>
                <w:szCs w:val="18"/>
                <w:lang w:bidi="ar"/>
              </w:rPr>
              <w:t>3.外窗型材由多腔密封塑料型材变更为隔热铝合金型材，降低节能性能，违反GB50411-2019第3.1.2条规定。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重庆市大足区双路幼儿园</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精佳建设工程集团有限公司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罗建平</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张柳、陈启辉</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重庆兴正建设工程咨询有限公司</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钟志林</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钟志林</w:t>
            </w: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11</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永川区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1.地下室外墙、屋面保温隔热材料及楼面保温隔声材料未按设计文件要求采购和施工，违反《建设工程质量管理条例》第十四条、第二十八条和《重庆市建筑节能条例》第三十五条；</w:t>
            </w:r>
          </w:p>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kern w:val="0"/>
                <w:sz w:val="18"/>
                <w:szCs w:val="18"/>
                <w:lang w:bidi="ar"/>
              </w:rPr>
              <w:t>2.未采用成型箍筋加工配送，违反《重庆市建设领域禁止、限制使用落后技术通告（2019年版）》规定。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重庆东欣置业有限公司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歌山建设集团有限公司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中渝名威工程技术有限公司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12</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江津区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建筑节能（绿色建筑）施工图设计不符合节能强制性标准《居住建筑节能65%（绿色建筑）设计标准》DBJ50-071-2020要求，违反《重庆市建筑节能条例》第十三条规定。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rPr>
              <w:t>重庆市江津区新城鸿达房地产开发有限公司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成都基准方中建筑设计有限公司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戴涛</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朱成念</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w:t>
            </w:r>
            <w:r>
              <w:rPr>
                <w:rFonts w:hint="default" w:ascii="Times New Roman" w:hAnsi="Times New Roman" w:eastAsia="方正仿宋_GBK" w:cs="Times New Roman"/>
                <w:b w:val="0"/>
                <w:bCs w:val="0"/>
                <w:color w:val="auto"/>
                <w:kern w:val="0"/>
                <w:sz w:val="18"/>
                <w:szCs w:val="18"/>
                <w:lang w:val="en-US" w:eastAsia="zh-CN"/>
              </w:rPr>
              <w:t>8</w:t>
            </w:r>
            <w:r>
              <w:rPr>
                <w:rFonts w:hint="default" w:ascii="Times New Roman" w:hAnsi="Times New Roman" w:eastAsia="方正仿宋_GBK" w:cs="Times New Roman"/>
                <w:b w:val="0"/>
                <w:bCs w:val="0"/>
                <w:color w:val="auto"/>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13</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江津区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1.内隔墙非砌筑、预制装配式楼板、透水铺装、高耐久性高性能混凝土等未按设计文件要求进行采购和施工，违反《建设工程质量管理条例》第十四、二十八、二十九条规定和《重庆市建筑节能条例》第三十五条；</w:t>
            </w:r>
          </w:p>
          <w:p>
            <w:pPr>
              <w:wordWrap w:val="0"/>
              <w:spacing w:line="300" w:lineRule="exact"/>
              <w:jc w:val="left"/>
              <w:textAlignment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kern w:val="0"/>
                <w:sz w:val="18"/>
                <w:szCs w:val="18"/>
                <w:lang w:bidi="ar"/>
              </w:rPr>
              <w:t>2.绿色建筑设计深度不足，违反《公共建筑节能（绿色建筑）设计标准》DBJ50-052-2020第1.0.6条规定。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重庆宝奥房地产开发有限公司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重庆惠庭建筑规划设计有限公司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王波</w:t>
            </w:r>
          </w:p>
        </w:tc>
        <w:tc>
          <w:tcPr>
            <w:tcW w:w="316" w:type="pct"/>
            <w:vAlign w:val="center"/>
          </w:tcPr>
          <w:p>
            <w:pPr>
              <w:spacing w:line="300" w:lineRule="exact"/>
              <w:jc w:val="center"/>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陈宇、陈世锦、董伟平、唐紫微、马翼</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重庆盛源建设(集团)有限公司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sz w:val="18"/>
                <w:szCs w:val="18"/>
              </w:rPr>
              <w:t>重庆建新建设工程监理咨询有限公司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渝建节执〔2022〕20</w:t>
            </w:r>
            <w:r>
              <w:rPr>
                <w:rFonts w:hint="default" w:ascii="Times New Roman" w:hAnsi="Times New Roman" w:eastAsia="方正仿宋_GBK" w:cs="Times New Roman"/>
                <w:b w:val="0"/>
                <w:bCs w:val="0"/>
                <w:color w:val="auto"/>
                <w:kern w:val="0"/>
                <w:sz w:val="18"/>
                <w:szCs w:val="18"/>
                <w:lang w:val="en-US" w:eastAsia="zh-CN"/>
              </w:rPr>
              <w:t>9</w:t>
            </w:r>
            <w:r>
              <w:rPr>
                <w:rFonts w:hint="default" w:ascii="Times New Roman" w:hAnsi="Times New Roman" w:eastAsia="方正仿宋_GBK" w:cs="Times New Roman"/>
                <w:b w:val="0"/>
                <w:bCs w:val="0"/>
                <w:color w:val="auto"/>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14</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石柱县</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墙体节能工程砌体材料未按施工图设计文件施工，违反《重庆市建筑节能条例》第十六条规定。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cs="Times New Roman"/>
                <w:b w:val="0"/>
                <w:bCs w:val="0"/>
                <w:color w:val="auto"/>
              </w:rPr>
              <w:fldChar w:fldCharType="begin"/>
            </w:r>
            <w:r>
              <w:rPr>
                <w:rFonts w:hint="default" w:ascii="Times New Roman" w:hAnsi="Times New Roman" w:cs="Times New Roman"/>
                <w:b w:val="0"/>
                <w:bCs w:val="0"/>
                <w:color w:val="auto"/>
              </w:rPr>
              <w:instrText xml:space="preserve"> HYPERLINK "https://aiqicha.baidu.com/detail/compinfo?pid=xlTM-TogKuTwt7xg9nFnqe6dLKQEB1SwLwmd&amp;rq=ef&amp;pd=ee&amp;from=ps" \t "https://www.baidu.com/_blank" </w:instrText>
            </w:r>
            <w:r>
              <w:rPr>
                <w:rFonts w:hint="default" w:ascii="Times New Roman" w:hAnsi="Times New Roman" w:cs="Times New Roman"/>
                <w:b w:val="0"/>
                <w:bCs w:val="0"/>
                <w:color w:val="auto"/>
              </w:rPr>
              <w:fldChar w:fldCharType="separate"/>
            </w:r>
            <w:r>
              <w:rPr>
                <w:rFonts w:hint="default" w:ascii="Times New Roman" w:hAnsi="Times New Roman" w:eastAsia="方正仿宋_GBK" w:cs="Times New Roman"/>
                <w:b w:val="0"/>
                <w:bCs w:val="0"/>
                <w:color w:val="auto"/>
                <w:kern w:val="0"/>
                <w:sz w:val="18"/>
                <w:szCs w:val="18"/>
              </w:rPr>
              <w:t>重庆市石柱县裕信置业有限公司</w:t>
            </w:r>
            <w:r>
              <w:rPr>
                <w:rFonts w:hint="default" w:ascii="Times New Roman" w:hAnsi="Times New Roman" w:eastAsia="方正仿宋_GBK" w:cs="Times New Roman"/>
                <w:b w:val="0"/>
                <w:bCs w:val="0"/>
                <w:color w:val="auto"/>
                <w:kern w:val="0"/>
                <w:sz w:val="18"/>
                <w:szCs w:val="18"/>
              </w:rPr>
              <w:fldChar w:fldCharType="end"/>
            </w:r>
          </w:p>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核工业南京建设集团有限公司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首盛建设集团有限公司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15</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开州区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1.外墙外保温工程无由同一供应商提供配套的组成材料和型式检验报告，违反《建筑节能工程施工质量验收标准》GB50411-2019第4.2.3条规定；</w:t>
            </w:r>
          </w:p>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2.门窗检测报告保温性能不满足设计要求，违反《重庆市建筑节能条例》第十六条规定；</w:t>
            </w:r>
          </w:p>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3.外墙保温材料检测报告数量不满足《建筑节能工程施工质量验收标准》GB50411-2019规定；</w:t>
            </w:r>
          </w:p>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4.施工现场未进行建筑节能信息公示。</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侨城集团重庆市开州区有限责任公司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重庆市开州区渝东建筑工程有限公司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晟华建设咨询有限公司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渝建节执〔2022〕402号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16</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sz w:val="18"/>
                <w:szCs w:val="18"/>
              </w:rPr>
            </w:pPr>
            <w:r>
              <w:rPr>
                <w:rFonts w:hint="default" w:ascii="Times New Roman" w:hAnsi="Times New Roman" w:eastAsia="方正仿宋_GBK" w:cs="Times New Roman"/>
                <w:b w:val="0"/>
                <w:bCs w:val="0"/>
                <w:color w:val="auto"/>
                <w:sz w:val="18"/>
                <w:szCs w:val="18"/>
              </w:rPr>
              <w:t>云阳县</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烧结页岩空心砖外壁有孔洞，保温材料有效锚固深度不能满足规定，违反《建筑节能工程施工质量验收标准》GB50411-2019第4.2.7条规定。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重庆昕晖帝阳房地产开发有限公司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重庆拓达建设（集团）有限公司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重庆兴达建设监理有限公司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渝建节执〔2022〕403号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17</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万盛经开区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1、项目外墙保温材料、外窗未按工程设计图纸进行施工，违反《建设工程质量管理条例》第二十八条规定。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重庆鑫岩房地产开发有限公司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中建五局第三建设有限公司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重庆海发工程项目管理咨询有限公司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18</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黔江区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1、建筑节能（绿色建筑）施工图设计不符合节能强制性标准《居住建筑节能65%（绿色建筑）设计标准》DBJ50-071-2020要求，违反《重庆市建筑节能条例》第十三条规定。</w:t>
            </w:r>
          </w:p>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2、车库未按设计要求完成充电桩安装，不符合《电动汽车充电设施建设技术标准》DBJ50-218-2020要求。</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重庆广银实业有限公司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华弘国际工程设计有限公司</w:t>
            </w: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王海川</w:t>
            </w: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庞荣</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pStyle w:val="2"/>
              <w:ind w:left="2250" w:hanging="1200"/>
              <w:rPr>
                <w:rFonts w:hint="default" w:ascii="Times New Roman" w:hAnsi="Times New Roman" w:cs="Times New Roman"/>
                <w:b w:val="0"/>
                <w:bCs w:val="0"/>
                <w:color w:val="auto"/>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浙江中悦建设有限公司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重庆江河工程建设监理有限公司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19</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黔江区</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lang w:bidi="ar"/>
              </w:rPr>
              <w:t>项目部分外窗、保温材料、楼板隔声材料、内隔墙板未按工程设计图纸进行施工，违反《建设工程质量管理条例》第二十八条规定。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重庆黔江三峰环保产业发展有限公司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重庆三峰卡万塔环境产业有限公司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重庆三环建设监理咨询有限公司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45" w:type="pct"/>
            <w:vAlign w:val="center"/>
          </w:tcPr>
          <w:p>
            <w:pPr>
              <w:wordWrap w:val="0"/>
              <w:spacing w:line="360" w:lineRule="exact"/>
              <w:jc w:val="center"/>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20</w:t>
            </w:r>
          </w:p>
        </w:tc>
        <w:tc>
          <w:tcPr>
            <w:tcW w:w="282"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酉阳自治县</w:t>
            </w:r>
          </w:p>
        </w:tc>
        <w:tc>
          <w:tcPr>
            <w:tcW w:w="1210" w:type="pct"/>
            <w:vAlign w:val="center"/>
          </w:tcPr>
          <w:p>
            <w:pPr>
              <w:wordWrap w:val="0"/>
              <w:spacing w:line="300" w:lineRule="exact"/>
              <w:jc w:val="left"/>
              <w:textAlignment w:val="center"/>
              <w:rPr>
                <w:rFonts w:hint="default" w:ascii="Times New Roman" w:hAnsi="Times New Roman" w:eastAsia="方正仿宋_GBK" w:cs="Times New Roman"/>
                <w:b w:val="0"/>
                <w:bCs w:val="0"/>
                <w:color w:val="auto"/>
                <w:kern w:val="0"/>
                <w:sz w:val="18"/>
                <w:szCs w:val="18"/>
                <w:lang w:bidi="ar"/>
              </w:rPr>
            </w:pPr>
            <w:r>
              <w:rPr>
                <w:rFonts w:hint="default" w:ascii="Times New Roman" w:hAnsi="Times New Roman" w:eastAsia="方正仿宋_GBK" w:cs="Times New Roman"/>
                <w:b w:val="0"/>
                <w:bCs w:val="0"/>
                <w:color w:val="auto"/>
                <w:kern w:val="0"/>
                <w:sz w:val="18"/>
                <w:szCs w:val="18"/>
                <w:lang w:bidi="ar"/>
              </w:rPr>
              <w:t>部分外墙未按工程设计图纸进行保温施工，食堂首层地面挤塑聚苯板保温材料实施厚度不满足设计图纸要求，违反《建设工程质量管理条例》第二十八条规定。</w:t>
            </w:r>
          </w:p>
        </w:tc>
        <w:tc>
          <w:tcPr>
            <w:tcW w:w="377"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重庆桃花源旅游产业发展有限责任公司</w:t>
            </w: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p>
        </w:tc>
        <w:tc>
          <w:tcPr>
            <w:tcW w:w="316"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15" w:type="pct"/>
            <w:vAlign w:val="center"/>
          </w:tcPr>
          <w:p>
            <w:pPr>
              <w:wordWrap w:val="0"/>
              <w:spacing w:line="300" w:lineRule="exact"/>
              <w:jc w:val="center"/>
              <w:rPr>
                <w:rFonts w:hint="default" w:ascii="Times New Roman" w:hAnsi="Times New Roman" w:eastAsia="方正仿宋_GBK" w:cs="Times New Roman"/>
                <w:b w:val="0"/>
                <w:bCs w:val="0"/>
                <w:color w:val="auto"/>
                <w:kern w:val="0"/>
                <w:sz w:val="18"/>
                <w:szCs w:val="18"/>
              </w:rPr>
            </w:pPr>
          </w:p>
        </w:tc>
        <w:tc>
          <w:tcPr>
            <w:tcW w:w="330"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重庆良运建筑工程有限公司</w:t>
            </w:r>
          </w:p>
        </w:tc>
        <w:tc>
          <w:tcPr>
            <w:tcW w:w="35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重庆市中泰工程监理有限公司</w:t>
            </w:r>
          </w:p>
        </w:tc>
        <w:tc>
          <w:tcPr>
            <w:tcW w:w="298" w:type="pct"/>
            <w:vAlign w:val="center"/>
          </w:tcPr>
          <w:p>
            <w:pPr>
              <w:wordWrap w:val="0"/>
              <w:spacing w:line="300" w:lineRule="exact"/>
              <w:jc w:val="left"/>
              <w:rPr>
                <w:rFonts w:hint="default" w:ascii="Times New Roman" w:hAnsi="Times New Roman" w:eastAsia="方正仿宋_GBK" w:cs="Times New Roman"/>
                <w:b w:val="0"/>
                <w:bCs w:val="0"/>
                <w:color w:val="auto"/>
                <w:kern w:val="0"/>
                <w:sz w:val="18"/>
                <w:szCs w:val="18"/>
              </w:rPr>
            </w:pPr>
            <w:r>
              <w:rPr>
                <w:rFonts w:hint="default" w:ascii="Times New Roman" w:hAnsi="Times New Roman" w:eastAsia="方正仿宋_GBK" w:cs="Times New Roman"/>
                <w:b w:val="0"/>
                <w:bCs w:val="0"/>
                <w:color w:val="auto"/>
                <w:kern w:val="0"/>
                <w:sz w:val="18"/>
                <w:szCs w:val="18"/>
              </w:rPr>
              <w:t>渝建节执〔2022〕104号</w:t>
            </w:r>
          </w:p>
        </w:tc>
      </w:tr>
    </w:tbl>
    <w:p>
      <w:pPr>
        <w:pStyle w:val="17"/>
        <w:wordWrap w:val="0"/>
        <w:snapToGrid w:val="0"/>
        <w:spacing w:line="500" w:lineRule="exact"/>
        <w:rPr>
          <w:rFonts w:eastAsia="方正仿宋_GBK"/>
          <w:b w:val="0"/>
          <w:bCs w:val="0"/>
          <w:color w:val="auto"/>
          <w:sz w:val="32"/>
          <w:szCs w:val="32"/>
        </w:rPr>
      </w:pPr>
    </w:p>
    <w:sectPr>
      <w:pgSz w:w="16838" w:h="11906" w:orient="landscape"/>
      <w:pgMar w:top="1587" w:right="2098" w:bottom="1474" w:left="1984"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4NWM1ODZkNzliNjhlMjU4MjgwNTg2ZWRhOWEyZmIifQ=="/>
  </w:docVars>
  <w:rsids>
    <w:rsidRoot w:val="00781941"/>
    <w:rsid w:val="000037EC"/>
    <w:rsid w:val="000113C6"/>
    <w:rsid w:val="000119FC"/>
    <w:rsid w:val="000141B3"/>
    <w:rsid w:val="00014F51"/>
    <w:rsid w:val="0002161D"/>
    <w:rsid w:val="00021DC8"/>
    <w:rsid w:val="000276A9"/>
    <w:rsid w:val="00031433"/>
    <w:rsid w:val="00041313"/>
    <w:rsid w:val="00051832"/>
    <w:rsid w:val="00054731"/>
    <w:rsid w:val="00067870"/>
    <w:rsid w:val="00072D2A"/>
    <w:rsid w:val="000825AE"/>
    <w:rsid w:val="00083AD6"/>
    <w:rsid w:val="00087B9B"/>
    <w:rsid w:val="00090F9A"/>
    <w:rsid w:val="000A6266"/>
    <w:rsid w:val="000C30D6"/>
    <w:rsid w:val="000C3985"/>
    <w:rsid w:val="000C6494"/>
    <w:rsid w:val="000D20B4"/>
    <w:rsid w:val="000D3C21"/>
    <w:rsid w:val="000E16C0"/>
    <w:rsid w:val="00113889"/>
    <w:rsid w:val="00121112"/>
    <w:rsid w:val="001221F0"/>
    <w:rsid w:val="00125749"/>
    <w:rsid w:val="001333E9"/>
    <w:rsid w:val="001421E1"/>
    <w:rsid w:val="001437A9"/>
    <w:rsid w:val="001450F8"/>
    <w:rsid w:val="001475AD"/>
    <w:rsid w:val="00165006"/>
    <w:rsid w:val="0016621E"/>
    <w:rsid w:val="00166249"/>
    <w:rsid w:val="00170ACC"/>
    <w:rsid w:val="0018463D"/>
    <w:rsid w:val="001867B0"/>
    <w:rsid w:val="00193195"/>
    <w:rsid w:val="0019325B"/>
    <w:rsid w:val="001C3333"/>
    <w:rsid w:val="001C5133"/>
    <w:rsid w:val="001D21C3"/>
    <w:rsid w:val="001D4EB8"/>
    <w:rsid w:val="001E0511"/>
    <w:rsid w:val="001E57EE"/>
    <w:rsid w:val="002006B0"/>
    <w:rsid w:val="0020164F"/>
    <w:rsid w:val="002227EF"/>
    <w:rsid w:val="00223939"/>
    <w:rsid w:val="00224A55"/>
    <w:rsid w:val="00226758"/>
    <w:rsid w:val="002269FF"/>
    <w:rsid w:val="00233E98"/>
    <w:rsid w:val="002422D9"/>
    <w:rsid w:val="00242E41"/>
    <w:rsid w:val="00251761"/>
    <w:rsid w:val="0025518A"/>
    <w:rsid w:val="00257264"/>
    <w:rsid w:val="002625A0"/>
    <w:rsid w:val="002633D6"/>
    <w:rsid w:val="00264E1A"/>
    <w:rsid w:val="00265F40"/>
    <w:rsid w:val="00266174"/>
    <w:rsid w:val="002713FF"/>
    <w:rsid w:val="00275EB7"/>
    <w:rsid w:val="00291145"/>
    <w:rsid w:val="00292933"/>
    <w:rsid w:val="002B253A"/>
    <w:rsid w:val="002B5478"/>
    <w:rsid w:val="002C4263"/>
    <w:rsid w:val="002D7FE0"/>
    <w:rsid w:val="00300443"/>
    <w:rsid w:val="00300A15"/>
    <w:rsid w:val="0031570A"/>
    <w:rsid w:val="00316421"/>
    <w:rsid w:val="00341722"/>
    <w:rsid w:val="003425F5"/>
    <w:rsid w:val="00343448"/>
    <w:rsid w:val="00344B45"/>
    <w:rsid w:val="00350EA4"/>
    <w:rsid w:val="00352923"/>
    <w:rsid w:val="003551B1"/>
    <w:rsid w:val="00356E33"/>
    <w:rsid w:val="00361163"/>
    <w:rsid w:val="00367390"/>
    <w:rsid w:val="0037194B"/>
    <w:rsid w:val="003835CD"/>
    <w:rsid w:val="003920DA"/>
    <w:rsid w:val="003A4EE1"/>
    <w:rsid w:val="003C3B5C"/>
    <w:rsid w:val="003C45B2"/>
    <w:rsid w:val="003C665A"/>
    <w:rsid w:val="003E19AD"/>
    <w:rsid w:val="004124F3"/>
    <w:rsid w:val="00422EFF"/>
    <w:rsid w:val="00425978"/>
    <w:rsid w:val="00430CEF"/>
    <w:rsid w:val="0043165D"/>
    <w:rsid w:val="0043214D"/>
    <w:rsid w:val="00440961"/>
    <w:rsid w:val="00447C33"/>
    <w:rsid w:val="0046034D"/>
    <w:rsid w:val="00472613"/>
    <w:rsid w:val="00476E4A"/>
    <w:rsid w:val="00485CE9"/>
    <w:rsid w:val="00486C27"/>
    <w:rsid w:val="00487AF4"/>
    <w:rsid w:val="004915D9"/>
    <w:rsid w:val="0049245D"/>
    <w:rsid w:val="00494071"/>
    <w:rsid w:val="004A3BB0"/>
    <w:rsid w:val="004A4A40"/>
    <w:rsid w:val="004A5B32"/>
    <w:rsid w:val="004A7304"/>
    <w:rsid w:val="004B289B"/>
    <w:rsid w:val="004B2B53"/>
    <w:rsid w:val="004B3C49"/>
    <w:rsid w:val="004C25B8"/>
    <w:rsid w:val="004D34EB"/>
    <w:rsid w:val="004D3CCF"/>
    <w:rsid w:val="004D49E4"/>
    <w:rsid w:val="004D7A8D"/>
    <w:rsid w:val="004E4E37"/>
    <w:rsid w:val="004F035A"/>
    <w:rsid w:val="005009FB"/>
    <w:rsid w:val="005046F9"/>
    <w:rsid w:val="00504B6E"/>
    <w:rsid w:val="00506020"/>
    <w:rsid w:val="00506243"/>
    <w:rsid w:val="00506541"/>
    <w:rsid w:val="00512F2E"/>
    <w:rsid w:val="0051450E"/>
    <w:rsid w:val="00517F1F"/>
    <w:rsid w:val="00526E43"/>
    <w:rsid w:val="0053258A"/>
    <w:rsid w:val="00543220"/>
    <w:rsid w:val="00544BFD"/>
    <w:rsid w:val="00550EF9"/>
    <w:rsid w:val="0055136B"/>
    <w:rsid w:val="005629BB"/>
    <w:rsid w:val="00570E04"/>
    <w:rsid w:val="00571E11"/>
    <w:rsid w:val="00572451"/>
    <w:rsid w:val="0057613C"/>
    <w:rsid w:val="005772CE"/>
    <w:rsid w:val="00581B4E"/>
    <w:rsid w:val="00583C53"/>
    <w:rsid w:val="00585409"/>
    <w:rsid w:val="00590B3E"/>
    <w:rsid w:val="00591FB7"/>
    <w:rsid w:val="005A4856"/>
    <w:rsid w:val="005A6BBC"/>
    <w:rsid w:val="005B54A1"/>
    <w:rsid w:val="005C2B2C"/>
    <w:rsid w:val="005C4A43"/>
    <w:rsid w:val="005D59B5"/>
    <w:rsid w:val="005E2957"/>
    <w:rsid w:val="005E3615"/>
    <w:rsid w:val="005F1C83"/>
    <w:rsid w:val="00603060"/>
    <w:rsid w:val="0061402A"/>
    <w:rsid w:val="00616024"/>
    <w:rsid w:val="00633C00"/>
    <w:rsid w:val="00635D75"/>
    <w:rsid w:val="00642916"/>
    <w:rsid w:val="006546B1"/>
    <w:rsid w:val="00657B5F"/>
    <w:rsid w:val="00671D36"/>
    <w:rsid w:val="00673EAE"/>
    <w:rsid w:val="00674FFF"/>
    <w:rsid w:val="00683380"/>
    <w:rsid w:val="0068784D"/>
    <w:rsid w:val="006922F3"/>
    <w:rsid w:val="00697A1B"/>
    <w:rsid w:val="006A4ADE"/>
    <w:rsid w:val="006A4B3E"/>
    <w:rsid w:val="006B027C"/>
    <w:rsid w:val="006B19A4"/>
    <w:rsid w:val="006C7814"/>
    <w:rsid w:val="006D1618"/>
    <w:rsid w:val="006E250F"/>
    <w:rsid w:val="006E5FBE"/>
    <w:rsid w:val="00701CBD"/>
    <w:rsid w:val="00701D51"/>
    <w:rsid w:val="007046B5"/>
    <w:rsid w:val="00712071"/>
    <w:rsid w:val="007137D7"/>
    <w:rsid w:val="007212FA"/>
    <w:rsid w:val="00725BAB"/>
    <w:rsid w:val="007302F1"/>
    <w:rsid w:val="00731D27"/>
    <w:rsid w:val="007344DC"/>
    <w:rsid w:val="00735EB1"/>
    <w:rsid w:val="00750048"/>
    <w:rsid w:val="0075101D"/>
    <w:rsid w:val="00754B6E"/>
    <w:rsid w:val="007565FF"/>
    <w:rsid w:val="00763375"/>
    <w:rsid w:val="00781941"/>
    <w:rsid w:val="0078485E"/>
    <w:rsid w:val="00785AE2"/>
    <w:rsid w:val="00790113"/>
    <w:rsid w:val="00791157"/>
    <w:rsid w:val="00794F15"/>
    <w:rsid w:val="00795339"/>
    <w:rsid w:val="00797C1A"/>
    <w:rsid w:val="007A47E0"/>
    <w:rsid w:val="007B7882"/>
    <w:rsid w:val="007B7D0A"/>
    <w:rsid w:val="007E2573"/>
    <w:rsid w:val="007E4543"/>
    <w:rsid w:val="007E454D"/>
    <w:rsid w:val="007F3580"/>
    <w:rsid w:val="007F63FD"/>
    <w:rsid w:val="00804E98"/>
    <w:rsid w:val="00827ABE"/>
    <w:rsid w:val="00830189"/>
    <w:rsid w:val="008510A3"/>
    <w:rsid w:val="008562D7"/>
    <w:rsid w:val="00856D5A"/>
    <w:rsid w:val="00860AD9"/>
    <w:rsid w:val="00863781"/>
    <w:rsid w:val="008678B7"/>
    <w:rsid w:val="00876994"/>
    <w:rsid w:val="0088377A"/>
    <w:rsid w:val="00887E78"/>
    <w:rsid w:val="00892AB7"/>
    <w:rsid w:val="00893791"/>
    <w:rsid w:val="00895530"/>
    <w:rsid w:val="008A186C"/>
    <w:rsid w:val="008B1B14"/>
    <w:rsid w:val="008C0F72"/>
    <w:rsid w:val="008C2A28"/>
    <w:rsid w:val="008C3D9C"/>
    <w:rsid w:val="008C410F"/>
    <w:rsid w:val="008C4BC4"/>
    <w:rsid w:val="008C4FA4"/>
    <w:rsid w:val="008D0585"/>
    <w:rsid w:val="008E1FA5"/>
    <w:rsid w:val="008E21AC"/>
    <w:rsid w:val="008E2532"/>
    <w:rsid w:val="008E5AB5"/>
    <w:rsid w:val="008F3383"/>
    <w:rsid w:val="008F3712"/>
    <w:rsid w:val="008F468C"/>
    <w:rsid w:val="00903C78"/>
    <w:rsid w:val="00903DE0"/>
    <w:rsid w:val="0091283C"/>
    <w:rsid w:val="00925C97"/>
    <w:rsid w:val="00927B96"/>
    <w:rsid w:val="00932777"/>
    <w:rsid w:val="009355FA"/>
    <w:rsid w:val="00937C7D"/>
    <w:rsid w:val="00943A99"/>
    <w:rsid w:val="00945802"/>
    <w:rsid w:val="00945B78"/>
    <w:rsid w:val="009518E7"/>
    <w:rsid w:val="00953FEF"/>
    <w:rsid w:val="009562E9"/>
    <w:rsid w:val="009577BD"/>
    <w:rsid w:val="00963FCF"/>
    <w:rsid w:val="009667F6"/>
    <w:rsid w:val="00970F2A"/>
    <w:rsid w:val="00973BBA"/>
    <w:rsid w:val="00974D6B"/>
    <w:rsid w:val="00987C81"/>
    <w:rsid w:val="009B1797"/>
    <w:rsid w:val="009B76E9"/>
    <w:rsid w:val="009C00F5"/>
    <w:rsid w:val="009C32DF"/>
    <w:rsid w:val="009C3D29"/>
    <w:rsid w:val="009D0CF0"/>
    <w:rsid w:val="009D1F3C"/>
    <w:rsid w:val="009E02CD"/>
    <w:rsid w:val="009E1ED2"/>
    <w:rsid w:val="009F43EC"/>
    <w:rsid w:val="00A07FE5"/>
    <w:rsid w:val="00A248C7"/>
    <w:rsid w:val="00A327B7"/>
    <w:rsid w:val="00A34E44"/>
    <w:rsid w:val="00A5550C"/>
    <w:rsid w:val="00A564A9"/>
    <w:rsid w:val="00A63ACB"/>
    <w:rsid w:val="00A817E5"/>
    <w:rsid w:val="00A910EB"/>
    <w:rsid w:val="00A93CA5"/>
    <w:rsid w:val="00AA3038"/>
    <w:rsid w:val="00AA31FD"/>
    <w:rsid w:val="00AA3B91"/>
    <w:rsid w:val="00AB46CE"/>
    <w:rsid w:val="00AB5FAD"/>
    <w:rsid w:val="00AC0132"/>
    <w:rsid w:val="00AC3D7A"/>
    <w:rsid w:val="00AC4B4B"/>
    <w:rsid w:val="00AD1EFC"/>
    <w:rsid w:val="00AD382A"/>
    <w:rsid w:val="00AD3C5C"/>
    <w:rsid w:val="00AD3C91"/>
    <w:rsid w:val="00AD710E"/>
    <w:rsid w:val="00B00F15"/>
    <w:rsid w:val="00B02563"/>
    <w:rsid w:val="00B062C5"/>
    <w:rsid w:val="00B128ED"/>
    <w:rsid w:val="00B251C8"/>
    <w:rsid w:val="00B46A65"/>
    <w:rsid w:val="00B527C0"/>
    <w:rsid w:val="00B57723"/>
    <w:rsid w:val="00B64E9B"/>
    <w:rsid w:val="00B75C72"/>
    <w:rsid w:val="00B77F78"/>
    <w:rsid w:val="00B813C3"/>
    <w:rsid w:val="00B83FCD"/>
    <w:rsid w:val="00B85204"/>
    <w:rsid w:val="00B951D8"/>
    <w:rsid w:val="00BA79F0"/>
    <w:rsid w:val="00BB1D59"/>
    <w:rsid w:val="00BB26C6"/>
    <w:rsid w:val="00BB506F"/>
    <w:rsid w:val="00BB67A3"/>
    <w:rsid w:val="00BD35BF"/>
    <w:rsid w:val="00BE0848"/>
    <w:rsid w:val="00BE4819"/>
    <w:rsid w:val="00BF4857"/>
    <w:rsid w:val="00C013BB"/>
    <w:rsid w:val="00C148EB"/>
    <w:rsid w:val="00C4349E"/>
    <w:rsid w:val="00C434B6"/>
    <w:rsid w:val="00C43A96"/>
    <w:rsid w:val="00C443DB"/>
    <w:rsid w:val="00C51088"/>
    <w:rsid w:val="00C557A9"/>
    <w:rsid w:val="00C71E94"/>
    <w:rsid w:val="00C73D68"/>
    <w:rsid w:val="00C73F25"/>
    <w:rsid w:val="00C73FE2"/>
    <w:rsid w:val="00C7519C"/>
    <w:rsid w:val="00C841C9"/>
    <w:rsid w:val="00C92121"/>
    <w:rsid w:val="00C92778"/>
    <w:rsid w:val="00CA46DE"/>
    <w:rsid w:val="00CD12A3"/>
    <w:rsid w:val="00CD397C"/>
    <w:rsid w:val="00CD3EFB"/>
    <w:rsid w:val="00CD6911"/>
    <w:rsid w:val="00CE3008"/>
    <w:rsid w:val="00CE59BC"/>
    <w:rsid w:val="00CE6A78"/>
    <w:rsid w:val="00CF7C20"/>
    <w:rsid w:val="00D01F24"/>
    <w:rsid w:val="00D06494"/>
    <w:rsid w:val="00D064A2"/>
    <w:rsid w:val="00D130AD"/>
    <w:rsid w:val="00D134B6"/>
    <w:rsid w:val="00D17EEA"/>
    <w:rsid w:val="00D256B9"/>
    <w:rsid w:val="00D30BEB"/>
    <w:rsid w:val="00D349A1"/>
    <w:rsid w:val="00D3502B"/>
    <w:rsid w:val="00D36F37"/>
    <w:rsid w:val="00D52C1B"/>
    <w:rsid w:val="00D5309D"/>
    <w:rsid w:val="00D67B21"/>
    <w:rsid w:val="00D70918"/>
    <w:rsid w:val="00D73EAB"/>
    <w:rsid w:val="00D806CA"/>
    <w:rsid w:val="00D81B87"/>
    <w:rsid w:val="00D84549"/>
    <w:rsid w:val="00D86739"/>
    <w:rsid w:val="00D973AA"/>
    <w:rsid w:val="00D97533"/>
    <w:rsid w:val="00DC0762"/>
    <w:rsid w:val="00DC1A3B"/>
    <w:rsid w:val="00DC3770"/>
    <w:rsid w:val="00DD1F9A"/>
    <w:rsid w:val="00DD4600"/>
    <w:rsid w:val="00DD508F"/>
    <w:rsid w:val="00DD67CC"/>
    <w:rsid w:val="00DE048D"/>
    <w:rsid w:val="00DE1891"/>
    <w:rsid w:val="00DF2C6B"/>
    <w:rsid w:val="00E0185A"/>
    <w:rsid w:val="00E149E5"/>
    <w:rsid w:val="00E330D7"/>
    <w:rsid w:val="00E34EBD"/>
    <w:rsid w:val="00E46418"/>
    <w:rsid w:val="00E517DB"/>
    <w:rsid w:val="00E53D7D"/>
    <w:rsid w:val="00E53FB3"/>
    <w:rsid w:val="00E549AB"/>
    <w:rsid w:val="00E57E66"/>
    <w:rsid w:val="00E64393"/>
    <w:rsid w:val="00E65A26"/>
    <w:rsid w:val="00E70DB8"/>
    <w:rsid w:val="00E7710B"/>
    <w:rsid w:val="00EA054A"/>
    <w:rsid w:val="00EB54E4"/>
    <w:rsid w:val="00EB6E6D"/>
    <w:rsid w:val="00EC6703"/>
    <w:rsid w:val="00ED1EB4"/>
    <w:rsid w:val="00ED40EC"/>
    <w:rsid w:val="00ED4235"/>
    <w:rsid w:val="00ED745E"/>
    <w:rsid w:val="00EF06A0"/>
    <w:rsid w:val="00EF1DFA"/>
    <w:rsid w:val="00F02070"/>
    <w:rsid w:val="00F031D8"/>
    <w:rsid w:val="00F25671"/>
    <w:rsid w:val="00F25B12"/>
    <w:rsid w:val="00F26449"/>
    <w:rsid w:val="00F272F6"/>
    <w:rsid w:val="00F44DFD"/>
    <w:rsid w:val="00F53317"/>
    <w:rsid w:val="00F55C49"/>
    <w:rsid w:val="00F57258"/>
    <w:rsid w:val="00F57506"/>
    <w:rsid w:val="00F600B3"/>
    <w:rsid w:val="00F629B4"/>
    <w:rsid w:val="00F7617F"/>
    <w:rsid w:val="00F77BE6"/>
    <w:rsid w:val="00F80199"/>
    <w:rsid w:val="00F849FA"/>
    <w:rsid w:val="00F91676"/>
    <w:rsid w:val="00FA6EAD"/>
    <w:rsid w:val="00FB063B"/>
    <w:rsid w:val="00FB17B1"/>
    <w:rsid w:val="00FB7B84"/>
    <w:rsid w:val="00FC5CFA"/>
    <w:rsid w:val="00FD3F88"/>
    <w:rsid w:val="00FE2487"/>
    <w:rsid w:val="00FF56FE"/>
    <w:rsid w:val="01277301"/>
    <w:rsid w:val="014E7196"/>
    <w:rsid w:val="01635C49"/>
    <w:rsid w:val="017C3006"/>
    <w:rsid w:val="01BA5D71"/>
    <w:rsid w:val="02581525"/>
    <w:rsid w:val="025F6C2B"/>
    <w:rsid w:val="02637B21"/>
    <w:rsid w:val="026D5E22"/>
    <w:rsid w:val="02E67FB8"/>
    <w:rsid w:val="0355771C"/>
    <w:rsid w:val="03642C5D"/>
    <w:rsid w:val="0379048B"/>
    <w:rsid w:val="04096F7B"/>
    <w:rsid w:val="04243DB5"/>
    <w:rsid w:val="043C5628"/>
    <w:rsid w:val="04BD1B14"/>
    <w:rsid w:val="05C84429"/>
    <w:rsid w:val="06035C4C"/>
    <w:rsid w:val="062B32B9"/>
    <w:rsid w:val="066C1A43"/>
    <w:rsid w:val="0693587D"/>
    <w:rsid w:val="08A008C7"/>
    <w:rsid w:val="09A0335B"/>
    <w:rsid w:val="09C46924"/>
    <w:rsid w:val="0A5554B2"/>
    <w:rsid w:val="0AAE0CA9"/>
    <w:rsid w:val="0ABE2142"/>
    <w:rsid w:val="0B506499"/>
    <w:rsid w:val="0B52424E"/>
    <w:rsid w:val="0BA80745"/>
    <w:rsid w:val="0C6B6A59"/>
    <w:rsid w:val="0D1349C7"/>
    <w:rsid w:val="0D9C676A"/>
    <w:rsid w:val="0DAB7287"/>
    <w:rsid w:val="0DF93BBD"/>
    <w:rsid w:val="1018571C"/>
    <w:rsid w:val="104F3F68"/>
    <w:rsid w:val="106A2836"/>
    <w:rsid w:val="10D47B02"/>
    <w:rsid w:val="11063BE8"/>
    <w:rsid w:val="11310B01"/>
    <w:rsid w:val="1142646D"/>
    <w:rsid w:val="114415F3"/>
    <w:rsid w:val="1222745A"/>
    <w:rsid w:val="12603752"/>
    <w:rsid w:val="12BB3BF3"/>
    <w:rsid w:val="13111AC6"/>
    <w:rsid w:val="13DA0D00"/>
    <w:rsid w:val="142C41CA"/>
    <w:rsid w:val="14FB4561"/>
    <w:rsid w:val="15C060C7"/>
    <w:rsid w:val="166E7112"/>
    <w:rsid w:val="17411147"/>
    <w:rsid w:val="178F7340"/>
    <w:rsid w:val="17FD68D8"/>
    <w:rsid w:val="18970347"/>
    <w:rsid w:val="190C2119"/>
    <w:rsid w:val="19140B32"/>
    <w:rsid w:val="197C636F"/>
    <w:rsid w:val="1A2424C0"/>
    <w:rsid w:val="1A5A3C35"/>
    <w:rsid w:val="1A752FEC"/>
    <w:rsid w:val="1ACF6969"/>
    <w:rsid w:val="1AE5632E"/>
    <w:rsid w:val="1AE660F4"/>
    <w:rsid w:val="1B7C7BDB"/>
    <w:rsid w:val="1CAC5369"/>
    <w:rsid w:val="1CB515F6"/>
    <w:rsid w:val="1CE35A5C"/>
    <w:rsid w:val="1CFD577E"/>
    <w:rsid w:val="1DF10B12"/>
    <w:rsid w:val="1E302CB5"/>
    <w:rsid w:val="1F027A94"/>
    <w:rsid w:val="1F36486A"/>
    <w:rsid w:val="1F7B59FE"/>
    <w:rsid w:val="20E33032"/>
    <w:rsid w:val="21BF4CC5"/>
    <w:rsid w:val="21F904CC"/>
    <w:rsid w:val="22384C56"/>
    <w:rsid w:val="22396C74"/>
    <w:rsid w:val="22965A26"/>
    <w:rsid w:val="22B77CFD"/>
    <w:rsid w:val="22F116E7"/>
    <w:rsid w:val="237378C7"/>
    <w:rsid w:val="237C3DA7"/>
    <w:rsid w:val="23D55144"/>
    <w:rsid w:val="23F20755"/>
    <w:rsid w:val="248C5333"/>
    <w:rsid w:val="249431D0"/>
    <w:rsid w:val="24B23510"/>
    <w:rsid w:val="254859AD"/>
    <w:rsid w:val="2591416F"/>
    <w:rsid w:val="260A09FF"/>
    <w:rsid w:val="263E0AB0"/>
    <w:rsid w:val="26403695"/>
    <w:rsid w:val="276E0D20"/>
    <w:rsid w:val="281020C9"/>
    <w:rsid w:val="28504CD9"/>
    <w:rsid w:val="286345FC"/>
    <w:rsid w:val="28AE6BE7"/>
    <w:rsid w:val="28DD60AD"/>
    <w:rsid w:val="29231599"/>
    <w:rsid w:val="294429D3"/>
    <w:rsid w:val="29BC7A56"/>
    <w:rsid w:val="29CB29BB"/>
    <w:rsid w:val="29EC23D0"/>
    <w:rsid w:val="29EE7EF6"/>
    <w:rsid w:val="2A3C6EB3"/>
    <w:rsid w:val="2AED4651"/>
    <w:rsid w:val="2C5A5D16"/>
    <w:rsid w:val="2CA11913"/>
    <w:rsid w:val="2CEB550F"/>
    <w:rsid w:val="2D231BEE"/>
    <w:rsid w:val="2D9932FD"/>
    <w:rsid w:val="2EF0313D"/>
    <w:rsid w:val="2FC177A0"/>
    <w:rsid w:val="2FED1391"/>
    <w:rsid w:val="305628A3"/>
    <w:rsid w:val="30955C68"/>
    <w:rsid w:val="30C10DB0"/>
    <w:rsid w:val="316C03A8"/>
    <w:rsid w:val="32650529"/>
    <w:rsid w:val="33135DFD"/>
    <w:rsid w:val="351377F9"/>
    <w:rsid w:val="35B20971"/>
    <w:rsid w:val="365F7C76"/>
    <w:rsid w:val="36E8694A"/>
    <w:rsid w:val="37313070"/>
    <w:rsid w:val="375C64A8"/>
    <w:rsid w:val="38683569"/>
    <w:rsid w:val="386C7C3E"/>
    <w:rsid w:val="38AC78FA"/>
    <w:rsid w:val="38BC3541"/>
    <w:rsid w:val="39657332"/>
    <w:rsid w:val="3A281202"/>
    <w:rsid w:val="3A2A4F7A"/>
    <w:rsid w:val="3A8237C9"/>
    <w:rsid w:val="3AB71C5A"/>
    <w:rsid w:val="3B912DD7"/>
    <w:rsid w:val="3C7050E2"/>
    <w:rsid w:val="3CA438C7"/>
    <w:rsid w:val="3CF65E3F"/>
    <w:rsid w:val="3F2428F7"/>
    <w:rsid w:val="3F9403C2"/>
    <w:rsid w:val="3FD634AE"/>
    <w:rsid w:val="406B009A"/>
    <w:rsid w:val="40CB0B39"/>
    <w:rsid w:val="40F40090"/>
    <w:rsid w:val="40FD28FA"/>
    <w:rsid w:val="41353EE1"/>
    <w:rsid w:val="42342642"/>
    <w:rsid w:val="425B1FD9"/>
    <w:rsid w:val="437A31F9"/>
    <w:rsid w:val="437E0720"/>
    <w:rsid w:val="43F819FB"/>
    <w:rsid w:val="44776444"/>
    <w:rsid w:val="453E0C6D"/>
    <w:rsid w:val="462C02CC"/>
    <w:rsid w:val="46454EEA"/>
    <w:rsid w:val="4743767B"/>
    <w:rsid w:val="482746AC"/>
    <w:rsid w:val="48627EAD"/>
    <w:rsid w:val="48D34A2F"/>
    <w:rsid w:val="49862E17"/>
    <w:rsid w:val="49E54A1A"/>
    <w:rsid w:val="4A446B97"/>
    <w:rsid w:val="4A4C4A99"/>
    <w:rsid w:val="4ABD7744"/>
    <w:rsid w:val="4AC76815"/>
    <w:rsid w:val="4AD819B6"/>
    <w:rsid w:val="4B9718D8"/>
    <w:rsid w:val="4BAB57EF"/>
    <w:rsid w:val="4C4B52FC"/>
    <w:rsid w:val="4CAD48B8"/>
    <w:rsid w:val="4CB84667"/>
    <w:rsid w:val="4CBA03DF"/>
    <w:rsid w:val="4D510618"/>
    <w:rsid w:val="4DAE5A6A"/>
    <w:rsid w:val="4ECF2D47"/>
    <w:rsid w:val="4EFB5042"/>
    <w:rsid w:val="4FA233AD"/>
    <w:rsid w:val="50F6750C"/>
    <w:rsid w:val="514C537E"/>
    <w:rsid w:val="51D265E8"/>
    <w:rsid w:val="52692DDB"/>
    <w:rsid w:val="526B22AD"/>
    <w:rsid w:val="52E97FD4"/>
    <w:rsid w:val="53E37BC3"/>
    <w:rsid w:val="53E93BD7"/>
    <w:rsid w:val="54D5124F"/>
    <w:rsid w:val="54F80961"/>
    <w:rsid w:val="554307EF"/>
    <w:rsid w:val="55FE522D"/>
    <w:rsid w:val="56347ED5"/>
    <w:rsid w:val="56CD647E"/>
    <w:rsid w:val="57911D3D"/>
    <w:rsid w:val="584C42BB"/>
    <w:rsid w:val="58FA6008"/>
    <w:rsid w:val="5A243F88"/>
    <w:rsid w:val="5B4C1449"/>
    <w:rsid w:val="5BBC1352"/>
    <w:rsid w:val="5BD20E07"/>
    <w:rsid w:val="5DBC6E2B"/>
    <w:rsid w:val="5E662CAE"/>
    <w:rsid w:val="5F2636B2"/>
    <w:rsid w:val="60B344FE"/>
    <w:rsid w:val="62A41F1F"/>
    <w:rsid w:val="631850E9"/>
    <w:rsid w:val="63BC45E5"/>
    <w:rsid w:val="64371EBE"/>
    <w:rsid w:val="647629E6"/>
    <w:rsid w:val="65B91C8E"/>
    <w:rsid w:val="67B12A3A"/>
    <w:rsid w:val="68343480"/>
    <w:rsid w:val="69045BC3"/>
    <w:rsid w:val="69616503"/>
    <w:rsid w:val="69720783"/>
    <w:rsid w:val="69836E79"/>
    <w:rsid w:val="6B0C5621"/>
    <w:rsid w:val="6BD85007"/>
    <w:rsid w:val="6BDB5825"/>
    <w:rsid w:val="6C274A87"/>
    <w:rsid w:val="6CFA1CDB"/>
    <w:rsid w:val="6D032F4D"/>
    <w:rsid w:val="6D384703"/>
    <w:rsid w:val="6DA17784"/>
    <w:rsid w:val="6E120A25"/>
    <w:rsid w:val="6E152CB1"/>
    <w:rsid w:val="6E963C85"/>
    <w:rsid w:val="6FA5004F"/>
    <w:rsid w:val="70223ABC"/>
    <w:rsid w:val="71970440"/>
    <w:rsid w:val="71D34022"/>
    <w:rsid w:val="71E92BA7"/>
    <w:rsid w:val="72885591"/>
    <w:rsid w:val="72936E59"/>
    <w:rsid w:val="73F848A2"/>
    <w:rsid w:val="74223B91"/>
    <w:rsid w:val="749479B7"/>
    <w:rsid w:val="75877F17"/>
    <w:rsid w:val="76550FBD"/>
    <w:rsid w:val="768F2341"/>
    <w:rsid w:val="770D450C"/>
    <w:rsid w:val="77147FAE"/>
    <w:rsid w:val="77BC650A"/>
    <w:rsid w:val="780A196C"/>
    <w:rsid w:val="782214F9"/>
    <w:rsid w:val="782C7B34"/>
    <w:rsid w:val="782D1944"/>
    <w:rsid w:val="783F0EE9"/>
    <w:rsid w:val="793242F5"/>
    <w:rsid w:val="7A320102"/>
    <w:rsid w:val="7A3345AE"/>
    <w:rsid w:val="7AB53FAA"/>
    <w:rsid w:val="7B044672"/>
    <w:rsid w:val="7B242D44"/>
    <w:rsid w:val="7B5D38A6"/>
    <w:rsid w:val="7D425704"/>
    <w:rsid w:val="7DA4016C"/>
    <w:rsid w:val="7E065F04"/>
    <w:rsid w:val="7E494870"/>
    <w:rsid w:val="7ECD724F"/>
    <w:rsid w:val="7F392B36"/>
    <w:rsid w:val="7F631961"/>
    <w:rsid w:val="7F6A7DF4"/>
    <w:rsid w:val="7F7A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99"/>
    <w:pPr>
      <w:spacing w:after="120"/>
    </w:pPr>
    <w:rPr>
      <w:szCs w:val="20"/>
    </w:rPr>
  </w:style>
  <w:style w:type="paragraph" w:styleId="4">
    <w:name w:val="Document Map"/>
    <w:basedOn w:val="1"/>
    <w:link w:val="13"/>
    <w:qFormat/>
    <w:uiPriority w:val="0"/>
    <w:rPr>
      <w:rFonts w:ascii="宋体"/>
      <w:sz w:val="18"/>
      <w:szCs w:val="18"/>
    </w:rPr>
  </w:style>
  <w:style w:type="paragraph" w:styleId="5">
    <w:name w:val="Balloon Text"/>
    <w:basedOn w:val="1"/>
    <w:link w:val="26"/>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link w:val="16"/>
    <w:qFormat/>
    <w:uiPriority w:val="0"/>
    <w:pPr>
      <w:spacing w:before="240" w:after="60"/>
      <w:jc w:val="center"/>
      <w:outlineLvl w:val="0"/>
    </w:pPr>
    <w:rPr>
      <w:rFonts w:ascii="Cambria" w:hAnsi="Cambria"/>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文档结构图 Char"/>
    <w:basedOn w:val="12"/>
    <w:link w:val="4"/>
    <w:qFormat/>
    <w:uiPriority w:val="0"/>
    <w:rPr>
      <w:rFonts w:ascii="宋体"/>
      <w:kern w:val="2"/>
      <w:sz w:val="18"/>
      <w:szCs w:val="18"/>
    </w:rPr>
  </w:style>
  <w:style w:type="character" w:customStyle="1" w:styleId="14">
    <w:name w:val="页脚 Char"/>
    <w:basedOn w:val="12"/>
    <w:link w:val="6"/>
    <w:qFormat/>
    <w:uiPriority w:val="0"/>
    <w:rPr>
      <w:kern w:val="2"/>
      <w:sz w:val="18"/>
      <w:szCs w:val="18"/>
    </w:rPr>
  </w:style>
  <w:style w:type="character" w:customStyle="1" w:styleId="15">
    <w:name w:val="页眉 Char"/>
    <w:basedOn w:val="12"/>
    <w:link w:val="7"/>
    <w:qFormat/>
    <w:uiPriority w:val="0"/>
    <w:rPr>
      <w:kern w:val="2"/>
      <w:sz w:val="18"/>
      <w:szCs w:val="18"/>
    </w:rPr>
  </w:style>
  <w:style w:type="character" w:customStyle="1" w:styleId="16">
    <w:name w:val="标题 Char"/>
    <w:basedOn w:val="12"/>
    <w:link w:val="9"/>
    <w:qFormat/>
    <w:uiPriority w:val="0"/>
    <w:rPr>
      <w:rFonts w:ascii="Cambria" w:hAnsi="Cambria" w:cs="Times New Roman"/>
      <w:b/>
      <w:bCs/>
      <w:kern w:val="2"/>
      <w:sz w:val="32"/>
      <w:szCs w:val="32"/>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Other|1"/>
    <w:basedOn w:val="1"/>
    <w:qFormat/>
    <w:uiPriority w:val="0"/>
    <w:pPr>
      <w:jc w:val="left"/>
    </w:pPr>
    <w:rPr>
      <w:rFonts w:ascii="宋体" w:hAnsi="宋体" w:cs="宋体"/>
      <w:kern w:val="0"/>
      <w:sz w:val="22"/>
      <w:szCs w:val="22"/>
      <w:lang w:val="zh-TW" w:eastAsia="zh-TW" w:bidi="zh-TW"/>
    </w:rPr>
  </w:style>
  <w:style w:type="character" w:customStyle="1" w:styleId="19">
    <w:name w:val="fontstyle01"/>
    <w:qFormat/>
    <w:uiPriority w:val="0"/>
    <w:rPr>
      <w:rFonts w:hint="eastAsia" w:ascii="方正仿宋_GBK" w:hAnsi="Times New Roman" w:eastAsia="方正仿宋_GBK" w:cs="Times New Roman"/>
      <w:color w:val="000000"/>
      <w:sz w:val="32"/>
      <w:szCs w:val="32"/>
    </w:rPr>
  </w:style>
  <w:style w:type="character" w:customStyle="1" w:styleId="20">
    <w:name w:val="font21"/>
    <w:basedOn w:val="12"/>
    <w:qFormat/>
    <w:uiPriority w:val="0"/>
    <w:rPr>
      <w:rFonts w:ascii="方正仿宋_GBK" w:hAnsi="方正仿宋_GBK" w:eastAsia="方正仿宋_GBK" w:cs="方正仿宋_GBK"/>
      <w:color w:val="000000"/>
      <w:sz w:val="21"/>
      <w:szCs w:val="21"/>
      <w:u w:val="none"/>
    </w:rPr>
  </w:style>
  <w:style w:type="character" w:customStyle="1" w:styleId="21">
    <w:name w:val="font11"/>
    <w:basedOn w:val="12"/>
    <w:qFormat/>
    <w:uiPriority w:val="0"/>
    <w:rPr>
      <w:rFonts w:hint="default" w:ascii="Times New Roman" w:hAnsi="Times New Roman" w:cs="Times New Roman"/>
      <w:color w:val="000000"/>
      <w:sz w:val="21"/>
      <w:szCs w:val="21"/>
      <w:u w:val="none"/>
    </w:rPr>
  </w:style>
  <w:style w:type="character" w:customStyle="1" w:styleId="22">
    <w:name w:val="font01"/>
    <w:basedOn w:val="12"/>
    <w:qFormat/>
    <w:uiPriority w:val="0"/>
    <w:rPr>
      <w:rFonts w:ascii="Arial" w:hAnsi="Arial" w:cs="Arial"/>
      <w:color w:val="000000"/>
      <w:sz w:val="21"/>
      <w:szCs w:val="21"/>
      <w:u w:val="none"/>
    </w:rPr>
  </w:style>
  <w:style w:type="character" w:customStyle="1" w:styleId="23">
    <w:name w:val="font41"/>
    <w:basedOn w:val="12"/>
    <w:qFormat/>
    <w:uiPriority w:val="0"/>
    <w:rPr>
      <w:rFonts w:hint="eastAsia" w:ascii="方正仿宋_GBK" w:hAnsi="方正仿宋_GBK" w:eastAsia="方正仿宋_GBK" w:cs="方正仿宋_GBK"/>
      <w:color w:val="000000"/>
      <w:sz w:val="21"/>
      <w:szCs w:val="21"/>
      <w:u w:val="none"/>
    </w:rPr>
  </w:style>
  <w:style w:type="character" w:customStyle="1" w:styleId="24">
    <w:name w:val="font31"/>
    <w:basedOn w:val="12"/>
    <w:qFormat/>
    <w:uiPriority w:val="0"/>
    <w:rPr>
      <w:rFonts w:hint="default" w:ascii="Times New Roman" w:hAnsi="Times New Roman" w:cs="Times New Roman"/>
      <w:color w:val="000000"/>
      <w:sz w:val="21"/>
      <w:szCs w:val="21"/>
      <w:u w:val="none"/>
    </w:rPr>
  </w:style>
  <w:style w:type="character" w:customStyle="1" w:styleId="25">
    <w:name w:val="font51"/>
    <w:basedOn w:val="12"/>
    <w:qFormat/>
    <w:uiPriority w:val="0"/>
    <w:rPr>
      <w:rFonts w:hint="default" w:ascii="Arial" w:hAnsi="Arial" w:cs="Arial"/>
      <w:color w:val="000000"/>
      <w:sz w:val="22"/>
      <w:szCs w:val="22"/>
      <w:u w:val="none"/>
    </w:rPr>
  </w:style>
  <w:style w:type="character" w:customStyle="1" w:styleId="26">
    <w:name w:val="批注框文本 Char"/>
    <w:basedOn w:val="12"/>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7458</Words>
  <Characters>7884</Characters>
  <Lines>68</Lines>
  <Paragraphs>19</Paragraphs>
  <TotalTime>36</TotalTime>
  <ScaleCrop>false</ScaleCrop>
  <LinksUpToDate>false</LinksUpToDate>
  <CharactersWithSpaces>7897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2022-11-10T05:56:00Z</dcterms:created>
  <dc:creator>微软用户</dc:creator>
  <cp:lastModifiedBy>ASUS</cp:lastModifiedBy>
  <cp:lastPrinted>2022-12-05T07:29:00Z</cp:lastPrinted>
  <dcterms:modified xsi:type="dcterms:W3CDTF">2022-12-07T14:07:13Z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B1A547F935F04D7E89622FCC163FBE92</vt:lpwstr>
  </property>
</Properties>
</file>