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黑体_GBK"/>
          <w:bCs/>
          <w:sz w:val="32"/>
          <w:szCs w:val="32"/>
        </w:rPr>
      </w:pPr>
      <w:bookmarkStart w:id="0" w:name="_Toc514858601"/>
      <w:r>
        <w:rPr>
          <w:rFonts w:eastAsia="方正黑体_GBK"/>
          <w:bCs/>
          <w:sz w:val="32"/>
          <w:szCs w:val="32"/>
        </w:rPr>
        <w:t>附件1</w:t>
      </w:r>
    </w:p>
    <w:p>
      <w:pPr>
        <w:spacing w:line="500" w:lineRule="exact"/>
        <w:jc w:val="center"/>
        <w:rPr>
          <w:rFonts w:eastAsia="方正小标宋_GBK"/>
          <w:bCs/>
          <w:sz w:val="48"/>
          <w:szCs w:val="48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重庆市智能建造</w:t>
      </w:r>
      <w:r>
        <w:rPr>
          <w:rFonts w:hint="eastAsia" w:eastAsia="方正小标宋_GBK"/>
          <w:bCs/>
          <w:sz w:val="52"/>
          <w:szCs w:val="52"/>
        </w:rPr>
        <w:t>试点区县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重庆市住房和城乡建设委员会制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2022年12月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1"/>
        <w:gridCol w:w="224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单位名称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通讯地址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传真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7" w:hRule="atLeast"/>
        </w:trPr>
        <w:tc>
          <w:tcPr>
            <w:tcW w:w="1289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基础情况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（包括政策文件、产业发展、企业培育、项目建设、管理机制等）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1289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示范内容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（包括技术推广、产业培育、制度创新等，着重体现示范重点和特色）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1289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实施计划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atLeast"/>
        </w:trPr>
        <w:tc>
          <w:tcPr>
            <w:tcW w:w="1289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保障措施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（应成立区政府领导牵头的工作协调机制）</w:t>
            </w: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bookmarkEnd w:id="0"/>
    </w:tbl>
    <w:p>
      <w:pPr>
        <w:spacing w:line="500" w:lineRule="exact"/>
      </w:pPr>
      <w:bookmarkStart w:id="1" w:name="_GoBack"/>
      <w:bookmarkEnd w:id="1"/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2B8A5AA5"/>
    <w:rsid w:val="62A057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317</Words>
  <Characters>1807</Characters>
  <Lines>15</Lines>
  <Paragraphs>4</Paragraphs>
  <TotalTime>67</TotalTime>
  <ScaleCrop>false</ScaleCrop>
  <LinksUpToDate>false</LinksUpToDate>
  <CharactersWithSpaces>2120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ASUS</cp:lastModifiedBy>
  <cp:lastPrinted>2022-12-06T10:12:00Z</cp:lastPrinted>
  <dcterms:modified xsi:type="dcterms:W3CDTF">2022-12-12T08:59:13Z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133AAAD86485470481ED4A4E7B740E40</vt:lpwstr>
  </property>
</Properties>
</file>