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1</w:t>
      </w:r>
    </w:p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  <w:r>
        <w:rPr>
          <w:rFonts w:hint="default" w:ascii="Times New Roman" w:hAnsi="Times New Roman" w:eastAsia="方正小标宋_GBK" w:cs="Times New Roman"/>
          <w:bCs/>
          <w:sz w:val="36"/>
          <w:szCs w:val="32"/>
        </w:rPr>
        <w:t>2022</w:t>
      </w:r>
      <w:r>
        <w:rPr>
          <w:rFonts w:hint="eastAsia" w:ascii="方正小标宋_GBK" w:eastAsia="方正小标宋_GBK"/>
          <w:bCs/>
          <w:sz w:val="36"/>
          <w:szCs w:val="32"/>
        </w:rPr>
        <w:t>年第</w:t>
      </w:r>
      <w:r>
        <w:rPr>
          <w:rFonts w:hint="default" w:ascii="Times New Roman" w:hAnsi="Times New Roman" w:eastAsia="方正小标宋_GBK" w:cs="Times New Roman"/>
          <w:bCs/>
          <w:sz w:val="36"/>
          <w:szCs w:val="32"/>
        </w:rPr>
        <w:t>19</w:t>
      </w:r>
      <w:r>
        <w:rPr>
          <w:rFonts w:hint="eastAsia" w:ascii="方正小标宋_GBK" w:eastAsia="方正小标宋_GBK"/>
          <w:bCs/>
          <w:sz w:val="36"/>
          <w:szCs w:val="32"/>
        </w:rPr>
        <w:t>次</w:t>
      </w:r>
      <w:r>
        <w:rPr>
          <w:rFonts w:hint="eastAsia" w:ascii="方正小标宋_GBK" w:eastAsia="方正小标宋_GBK"/>
          <w:kern w:val="0"/>
          <w:sz w:val="36"/>
          <w:szCs w:val="32"/>
        </w:rPr>
        <w:t>核准的</w:t>
      </w:r>
      <w:r>
        <w:rPr>
          <w:rFonts w:hint="eastAsia" w:ascii="方正小标宋_GBK" w:eastAsia="方正小标宋_GBK"/>
          <w:sz w:val="36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36"/>
          <w:szCs w:val="32"/>
        </w:rPr>
        <w:t>名单</w:t>
      </w:r>
    </w:p>
    <w:tbl>
      <w:tblPr>
        <w:tblStyle w:val="5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536"/>
        <w:gridCol w:w="1363"/>
        <w:gridCol w:w="3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</w:rPr>
              <w:t>序号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</w:rPr>
              <w:t>企业名称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</w:rPr>
              <w:t>业务类型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重庆市通信产业服务有限公司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重庆赛多力智能工程有限公司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重庆华远建设安装工程有限公司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重庆渝欧装饰工程有限责任公司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重庆川投机械有限公司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重庆市江津区吴滩建筑工程有限责任公司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重庆秋实建筑工程有限责任公司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石柱土家族自治县城市建设综合开发有限公司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重庆顺茂建设工程有限公司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重庆市坤达建筑工程有限公司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重庆桦竣建设（集团）有限公司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3"/>
          <w:right w:val="none" w:color="auto" w:sz="0" w:space="0"/>
          <w:between w:val="none" w:color="auto" w:sz="0" w:space="0"/>
        </w:pBdr>
        <w:tabs>
          <w:tab w:val="left" w:pos="1530"/>
        </w:tabs>
        <w:snapToGrid w:val="0"/>
        <w:spacing w:line="380" w:lineRule="exact"/>
        <w:ind w:left="840" w:hanging="630" w:hangingChars="300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13B0"/>
    <w:rsid w:val="000A22D7"/>
    <w:rsid w:val="000A3ED4"/>
    <w:rsid w:val="000A462B"/>
    <w:rsid w:val="000B07FE"/>
    <w:rsid w:val="000B0A77"/>
    <w:rsid w:val="000B50CA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4917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823"/>
    <w:rsid w:val="003935FE"/>
    <w:rsid w:val="003958EE"/>
    <w:rsid w:val="003B0FDD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02A9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90A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237F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9EB3A32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3C1791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7F86E3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  <w:rsid w:val="EF7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Char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Char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326</Words>
  <Characters>1863</Characters>
  <Lines>15</Lines>
  <Paragraphs>4</Paragraphs>
  <TotalTime>12</TotalTime>
  <ScaleCrop>false</ScaleCrop>
  <LinksUpToDate>false</LinksUpToDate>
  <CharactersWithSpaces>2185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2022-12-27T00:12:00Z</dcterms:created>
  <dc:creator>lenovo005</dc:creator>
  <cp:lastModifiedBy>ASUS</cp:lastModifiedBy>
  <cp:lastPrinted>2018-04-17T23:03:00Z</cp:lastPrinted>
  <dcterms:modified xsi:type="dcterms:W3CDTF">2022-12-29T06:25:41Z</dcterms:modified>
  <dc:title>2012年第二批建筑业企业资质审查意见的公示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25A586825D094282A810EF16423C3119</vt:lpwstr>
  </property>
</Properties>
</file>