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1</w:t>
      </w:r>
    </w:p>
    <w:p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kern w:val="0"/>
          <w:sz w:val="36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36"/>
          <w:szCs w:val="32"/>
        </w:rPr>
        <w:t>2022</w:t>
      </w:r>
      <w:r>
        <w:rPr>
          <w:rFonts w:hint="eastAsia" w:ascii="方正小标宋_GBK" w:eastAsia="方正小标宋_GBK"/>
          <w:bCs/>
          <w:sz w:val="36"/>
          <w:szCs w:val="32"/>
        </w:rPr>
        <w:t>年第</w:t>
      </w:r>
      <w:r>
        <w:rPr>
          <w:rFonts w:hint="default" w:ascii="Times New Roman" w:hAnsi="Times New Roman" w:eastAsia="方正小标宋_GBK" w:cs="Times New Roman"/>
          <w:bCs/>
          <w:sz w:val="36"/>
          <w:szCs w:val="32"/>
        </w:rPr>
        <w:t>18</w:t>
      </w:r>
      <w:r>
        <w:rPr>
          <w:rFonts w:hint="eastAsia" w:ascii="方正小标宋_GBK" w:eastAsia="方正小标宋_GBK"/>
          <w:bCs/>
          <w:sz w:val="36"/>
          <w:szCs w:val="32"/>
        </w:rPr>
        <w:t>次</w:t>
      </w: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bookmarkEnd w:id="0"/>
    </w:p>
    <w:tbl>
      <w:tblPr>
        <w:tblStyle w:val="5"/>
        <w:tblW w:w="5496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286"/>
        <w:gridCol w:w="1382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序号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企业名称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业务类型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重庆天海安装工程有限公司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重庆市迎龙建筑工程有限公司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重庆市一力建筑设备工程有限公司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重庆市天园建筑机械租赁有限责任公司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重庆市吉森园林建设有限公司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重庆莱谷科技有限公司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中国第十八冶金建设有限公司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重庆浩海建筑设备租赁有限公司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起重设备安装工程专业承包一级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重庆市南川区南极建筑安装有限公司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建筑工程施工总承包一级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48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中国葛洲坝集团易普力股份有限公司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升级申请</w:t>
            </w:r>
          </w:p>
        </w:tc>
        <w:tc>
          <w:tcPr>
            <w:tcW w:w="180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矿山工程施工总承包一级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3"/>
          <w:right w:val="none" w:color="auto" w:sz="0" w:space="0"/>
          <w:between w:val="none" w:color="auto" w:sz="0" w:space="0"/>
        </w:pBdr>
        <w:tabs>
          <w:tab w:val="left" w:pos="1530"/>
        </w:tabs>
        <w:snapToGrid w:val="0"/>
        <w:spacing w:line="380" w:lineRule="exact"/>
        <w:ind w:left="840" w:hanging="630" w:hangingChars="300"/>
      </w:pPr>
    </w:p>
    <w:sectPr>
      <w:footerReference r:id="rId3" w:type="default"/>
      <w:footerReference r:id="rId4" w:type="even"/>
      <w:pgSz w:w="11906" w:h="16838"/>
      <w:pgMar w:top="2098" w:right="1531" w:bottom="1984" w:left="1531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96829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3EFC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4B9C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420"/>
    <w:rsid w:val="00375C11"/>
    <w:rsid w:val="00385176"/>
    <w:rsid w:val="00385518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36C9"/>
    <w:rsid w:val="00455E56"/>
    <w:rsid w:val="00461397"/>
    <w:rsid w:val="00462EA6"/>
    <w:rsid w:val="00467D69"/>
    <w:rsid w:val="00472C13"/>
    <w:rsid w:val="00474030"/>
    <w:rsid w:val="00476BD3"/>
    <w:rsid w:val="00481286"/>
    <w:rsid w:val="00481FF1"/>
    <w:rsid w:val="004849BB"/>
    <w:rsid w:val="00485303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05E1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02A9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473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771B"/>
    <w:rsid w:val="0087357F"/>
    <w:rsid w:val="00873EE8"/>
    <w:rsid w:val="00894461"/>
    <w:rsid w:val="00894A73"/>
    <w:rsid w:val="00894DB8"/>
    <w:rsid w:val="00894E5A"/>
    <w:rsid w:val="008A1D7F"/>
    <w:rsid w:val="008A389A"/>
    <w:rsid w:val="008A5FBF"/>
    <w:rsid w:val="008B03EF"/>
    <w:rsid w:val="008B1EE5"/>
    <w:rsid w:val="008B397F"/>
    <w:rsid w:val="008C62BB"/>
    <w:rsid w:val="008C6691"/>
    <w:rsid w:val="008D124A"/>
    <w:rsid w:val="008D7A84"/>
    <w:rsid w:val="008E45A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44AB4"/>
    <w:rsid w:val="009504F1"/>
    <w:rsid w:val="00961F5D"/>
    <w:rsid w:val="0096783B"/>
    <w:rsid w:val="0098622B"/>
    <w:rsid w:val="009920D0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92852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1DE8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0CD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54C4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92089"/>
    <w:rsid w:val="00DA2858"/>
    <w:rsid w:val="00DB5E2C"/>
    <w:rsid w:val="00DD3899"/>
    <w:rsid w:val="00DE0559"/>
    <w:rsid w:val="00DE1A15"/>
    <w:rsid w:val="00DE3C3C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2F16"/>
    <w:rsid w:val="00E660EE"/>
    <w:rsid w:val="00E6752F"/>
    <w:rsid w:val="00E7580F"/>
    <w:rsid w:val="00E77833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061E"/>
    <w:rsid w:val="00EF2081"/>
    <w:rsid w:val="00EF291C"/>
    <w:rsid w:val="00EF5224"/>
    <w:rsid w:val="00F04B2D"/>
    <w:rsid w:val="00F04C0D"/>
    <w:rsid w:val="00F12A96"/>
    <w:rsid w:val="00F1673E"/>
    <w:rsid w:val="00F167F7"/>
    <w:rsid w:val="00F17DC5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F02B10"/>
    <w:rsid w:val="05730794"/>
    <w:rsid w:val="05C6262B"/>
    <w:rsid w:val="0618284F"/>
    <w:rsid w:val="08BF496D"/>
    <w:rsid w:val="099C6810"/>
    <w:rsid w:val="0B8F752B"/>
    <w:rsid w:val="0C4E4CB0"/>
    <w:rsid w:val="0CC56EE8"/>
    <w:rsid w:val="0E6B383A"/>
    <w:rsid w:val="11CE06B4"/>
    <w:rsid w:val="13662F27"/>
    <w:rsid w:val="17B576D2"/>
    <w:rsid w:val="19E63383"/>
    <w:rsid w:val="1B6F4272"/>
    <w:rsid w:val="1D574DDB"/>
    <w:rsid w:val="1F9820C9"/>
    <w:rsid w:val="1FC227AE"/>
    <w:rsid w:val="20746EA2"/>
    <w:rsid w:val="22AA5A4B"/>
    <w:rsid w:val="25A81680"/>
    <w:rsid w:val="25D53002"/>
    <w:rsid w:val="2603164C"/>
    <w:rsid w:val="26850FF2"/>
    <w:rsid w:val="27061D83"/>
    <w:rsid w:val="29721AAE"/>
    <w:rsid w:val="2ABA4D3F"/>
    <w:rsid w:val="2BD92281"/>
    <w:rsid w:val="2D7C496A"/>
    <w:rsid w:val="2EAE7607"/>
    <w:rsid w:val="315A2C5F"/>
    <w:rsid w:val="31AC3D69"/>
    <w:rsid w:val="3286192B"/>
    <w:rsid w:val="32AC7CD9"/>
    <w:rsid w:val="34370689"/>
    <w:rsid w:val="37252E91"/>
    <w:rsid w:val="37BB46C6"/>
    <w:rsid w:val="38A11724"/>
    <w:rsid w:val="3C084264"/>
    <w:rsid w:val="3C1225D6"/>
    <w:rsid w:val="3C4D4C2B"/>
    <w:rsid w:val="3E502C53"/>
    <w:rsid w:val="3EAB2E31"/>
    <w:rsid w:val="403D4E91"/>
    <w:rsid w:val="40933F13"/>
    <w:rsid w:val="415D08D2"/>
    <w:rsid w:val="423A1F37"/>
    <w:rsid w:val="443F58E8"/>
    <w:rsid w:val="488B364D"/>
    <w:rsid w:val="4B8B1E2A"/>
    <w:rsid w:val="4C42006C"/>
    <w:rsid w:val="4CAF6808"/>
    <w:rsid w:val="4CC823B2"/>
    <w:rsid w:val="4DD410BC"/>
    <w:rsid w:val="4DD96BFC"/>
    <w:rsid w:val="4E640826"/>
    <w:rsid w:val="4F4431F0"/>
    <w:rsid w:val="4FBF1B5B"/>
    <w:rsid w:val="514A5AAA"/>
    <w:rsid w:val="5180344F"/>
    <w:rsid w:val="52D005A6"/>
    <w:rsid w:val="534C1DF8"/>
    <w:rsid w:val="54F35049"/>
    <w:rsid w:val="580C27B5"/>
    <w:rsid w:val="59E635C7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6211889"/>
    <w:rsid w:val="66EF0511"/>
    <w:rsid w:val="682928B5"/>
    <w:rsid w:val="69190602"/>
    <w:rsid w:val="693F1EFC"/>
    <w:rsid w:val="69700843"/>
    <w:rsid w:val="6A113541"/>
    <w:rsid w:val="6B954C82"/>
    <w:rsid w:val="6C5A66B7"/>
    <w:rsid w:val="6D012B31"/>
    <w:rsid w:val="6D11544F"/>
    <w:rsid w:val="6D337514"/>
    <w:rsid w:val="6E152C4B"/>
    <w:rsid w:val="6EE42D19"/>
    <w:rsid w:val="6F954E5D"/>
    <w:rsid w:val="6FA72DC3"/>
    <w:rsid w:val="70201952"/>
    <w:rsid w:val="71406F30"/>
    <w:rsid w:val="73370575"/>
    <w:rsid w:val="735B5998"/>
    <w:rsid w:val="73620C2C"/>
    <w:rsid w:val="7741250B"/>
    <w:rsid w:val="77450802"/>
    <w:rsid w:val="77AD4B9B"/>
    <w:rsid w:val="78C402A0"/>
    <w:rsid w:val="78F41F2E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Char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990</Characters>
  <Lines>8</Lines>
  <Paragraphs>2</Paragraphs>
  <TotalTime>1</TotalTime>
  <ScaleCrop>false</ScaleCrop>
  <LinksUpToDate>false</LinksUpToDate>
  <CharactersWithSpaces>1161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2022-12-07T09:47:00Z</dcterms:created>
  <dc:creator>lenovo005</dc:creator>
  <cp:lastModifiedBy>ASUS</cp:lastModifiedBy>
  <cp:lastPrinted>2018-04-17T15:03:00Z</cp:lastPrinted>
  <dcterms:modified xsi:type="dcterms:W3CDTF">2022-12-29T06:46:00Z</dcterms:modified>
  <dc:title>2012年第二批建筑业企业资质审查意见的公示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D141966474264314B493307A5F4A4C6B</vt:lpwstr>
  </property>
</Properties>
</file>