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r>
        <w:rPr>
          <w:rFonts w:hint="eastAsia" w:ascii="方正黑体_GBK" w:eastAsia="方正黑体_GBK"/>
          <w:sz w:val="32"/>
          <w:szCs w:val="32"/>
        </w:rPr>
        <w:t>附件</w:t>
      </w:r>
    </w:p>
    <w:tbl>
      <w:tblPr>
        <w:tblStyle w:val="6"/>
        <w:tblW w:w="14616" w:type="dxa"/>
        <w:tblInd w:w="93" w:type="dxa"/>
        <w:tblLayout w:type="autofit"/>
        <w:tblCellMar>
          <w:top w:w="0" w:type="dxa"/>
          <w:left w:w="108" w:type="dxa"/>
          <w:bottom w:w="0" w:type="dxa"/>
          <w:right w:w="108" w:type="dxa"/>
        </w:tblCellMar>
      </w:tblPr>
      <w:tblGrid>
        <w:gridCol w:w="1520"/>
        <w:gridCol w:w="2140"/>
        <w:gridCol w:w="10956"/>
      </w:tblGrid>
      <w:tr>
        <w:tblPrEx>
          <w:tblCellMar>
            <w:top w:w="0" w:type="dxa"/>
            <w:left w:w="108" w:type="dxa"/>
            <w:bottom w:w="0" w:type="dxa"/>
            <w:right w:w="108" w:type="dxa"/>
          </w:tblCellMar>
        </w:tblPrEx>
        <w:trPr>
          <w:trHeight w:val="720" w:hRule="atLeast"/>
        </w:trPr>
        <w:tc>
          <w:tcPr>
            <w:tcW w:w="14616" w:type="dxa"/>
            <w:gridSpan w:val="3"/>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重庆市房屋建筑和市政基础设施工程综合风险等级划分标准</w:t>
            </w:r>
          </w:p>
        </w:tc>
      </w:tr>
      <w:tr>
        <w:tblPrEx>
          <w:tblCellMar>
            <w:top w:w="0" w:type="dxa"/>
            <w:left w:w="108" w:type="dxa"/>
            <w:bottom w:w="0" w:type="dxa"/>
            <w:right w:w="108" w:type="dxa"/>
          </w:tblCellMar>
        </w:tblPrEx>
        <w:trPr>
          <w:trHeight w:val="555" w:hRule="atLeast"/>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风险等级</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工程类别</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划分标准</w:t>
            </w:r>
          </w:p>
        </w:tc>
      </w:tr>
      <w:tr>
        <w:tblPrEx>
          <w:tblCellMar>
            <w:top w:w="0" w:type="dxa"/>
            <w:left w:w="108" w:type="dxa"/>
            <w:bottom w:w="0" w:type="dxa"/>
            <w:right w:w="108" w:type="dxa"/>
          </w:tblCellMar>
        </w:tblPrEx>
        <w:trPr>
          <w:trHeight w:val="900"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一、高风险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万㎡的体育场馆、展览馆、博物馆、大剧院、学校、医院、综合交通枢纽等人员密集场所的大型公共建筑，或其他具有重要政治、经济、文化、历史等意义的公共建筑及其示范性工程。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建筑高度超过</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米的建筑物、高度超过</w:t>
            </w:r>
            <w:r>
              <w:rPr>
                <w:rFonts w:hint="default" w:ascii="Times New Roman" w:hAnsi="Times New Roman" w:eastAsia="方正仿宋_GBK" w:cs="Times New Roman"/>
                <w:color w:val="000000"/>
                <w:kern w:val="0"/>
                <w:sz w:val="24"/>
                <w:szCs w:val="24"/>
              </w:rPr>
              <w:t>120</w:t>
            </w:r>
            <w:r>
              <w:rPr>
                <w:rFonts w:hint="eastAsia" w:ascii="方正仿宋_GBK" w:hAnsi="宋体" w:eastAsia="方正仿宋_GBK" w:cs="宋体"/>
                <w:color w:val="000000"/>
                <w:kern w:val="0"/>
                <w:sz w:val="24"/>
                <w:szCs w:val="24"/>
              </w:rPr>
              <w:t>米的构筑物、单跨跨度超过</w:t>
            </w:r>
            <w:r>
              <w:rPr>
                <w:rFonts w:hint="default" w:ascii="Times New Roman" w:hAnsi="Times New Roman" w:eastAsia="方正仿宋_GBK" w:cs="Times New Roman"/>
                <w:color w:val="000000"/>
                <w:kern w:val="0"/>
                <w:sz w:val="24"/>
                <w:szCs w:val="24"/>
              </w:rPr>
              <w:t>39</w:t>
            </w:r>
            <w:r>
              <w:rPr>
                <w:rFonts w:hint="eastAsia" w:ascii="方正仿宋_GBK" w:hAnsi="宋体" w:eastAsia="方正仿宋_GBK" w:cs="宋体"/>
                <w:color w:val="000000"/>
                <w:kern w:val="0"/>
                <w:sz w:val="24"/>
                <w:szCs w:val="24"/>
              </w:rPr>
              <w:t>米的建筑工程，或其他结构高度超限建筑。</w:t>
            </w:r>
          </w:p>
        </w:tc>
      </w:tr>
      <w:tr>
        <w:tblPrEx>
          <w:tblCellMar>
            <w:top w:w="0" w:type="dxa"/>
            <w:left w:w="108" w:type="dxa"/>
            <w:bottom w:w="0" w:type="dxa"/>
            <w:right w:w="108" w:type="dxa"/>
          </w:tblCellMar>
        </w:tblPrEx>
        <w:trPr>
          <w:trHeight w:val="10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装配率超过</w:t>
            </w:r>
            <w:r>
              <w:rPr>
                <w:rFonts w:hint="default" w:ascii="Times New Roman" w:hAnsi="Times New Roman" w:eastAsia="方正仿宋_GBK" w:cs="Times New Roman"/>
                <w:color w:val="000000"/>
                <w:kern w:val="0"/>
                <w:sz w:val="24"/>
                <w:szCs w:val="24"/>
              </w:rPr>
              <w:t>65</w:t>
            </w:r>
            <w:r>
              <w:rPr>
                <w:rFonts w:hint="eastAsia" w:ascii="方正仿宋_GBK" w:hAnsi="宋体" w:eastAsia="方正仿宋_GBK" w:cs="宋体"/>
                <w:color w:val="000000"/>
                <w:kern w:val="0"/>
                <w:sz w:val="24"/>
                <w:szCs w:val="24"/>
              </w:rPr>
              <w:t>%（结合《重庆市推进建筑产业现代化促进建筑业高质量发展若干政策措施》），或单件起吊重量超过</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KN的装配式建筑。</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23</w:t>
            </w:r>
            <w:r>
              <w:rPr>
                <w:rFonts w:hint="eastAsia" w:ascii="方正仿宋_GBK" w:hAnsi="宋体" w:eastAsia="方正仿宋_GBK" w:cs="宋体"/>
                <w:color w:val="000000"/>
                <w:kern w:val="0"/>
                <w:sz w:val="24"/>
                <w:szCs w:val="24"/>
              </w:rPr>
              <w:t>万㎡的房屋建筑项目（按施工许可证计）。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150</w:t>
            </w:r>
            <w:r>
              <w:rPr>
                <w:rFonts w:hint="eastAsia" w:ascii="方正仿宋_GBK" w:hAnsi="宋体" w:eastAsia="方正仿宋_GBK" w:cs="宋体"/>
                <w:color w:val="000000"/>
                <w:kern w:val="0"/>
                <w:sz w:val="24"/>
                <w:szCs w:val="24"/>
              </w:rPr>
              <w:t>m或总跨径＞</w:t>
            </w:r>
            <w:r>
              <w:rPr>
                <w:rFonts w:hint="default" w:ascii="Times New Roman" w:hAnsi="Times New Roman" w:eastAsia="方正仿宋_GBK" w:cs="Times New Roman"/>
                <w:color w:val="000000"/>
                <w:kern w:val="0"/>
                <w:sz w:val="24"/>
                <w:szCs w:val="24"/>
              </w:rPr>
              <w:t>10</w:t>
            </w:r>
            <w:r>
              <w:rPr>
                <w:rFonts w:hint="eastAsia" w:ascii="Times New Roman" w:hAnsi="Times New Roman" w:eastAsia="方正仿宋_GBK" w:cs="Times New Roman"/>
                <w:color w:val="000000"/>
                <w:kern w:val="0"/>
                <w:sz w:val="24"/>
                <w:szCs w:val="24"/>
                <w:lang w:val="en-US" w:eastAsia="zh-CN"/>
              </w:rPr>
              <w:t>0</w:t>
            </w:r>
            <w:r>
              <w:rPr>
                <w:rFonts w:hint="default" w:ascii="Times New Roman" w:hAnsi="Times New Roman" w:eastAsia="方正仿宋_GBK" w:cs="Times New Roman"/>
                <w:color w:val="000000"/>
                <w:kern w:val="0"/>
                <w:sz w:val="24"/>
                <w:szCs w:val="24"/>
              </w:rPr>
              <w:t>0</w:t>
            </w:r>
            <w:r>
              <w:rPr>
                <w:rFonts w:hint="eastAsia" w:ascii="方正仿宋_GBK" w:hAnsi="宋体" w:eastAsia="方正仿宋_GBK" w:cs="宋体"/>
                <w:color w:val="000000"/>
                <w:kern w:val="0"/>
                <w:sz w:val="24"/>
                <w:szCs w:val="24"/>
              </w:rPr>
              <w:t>m的桥梁工程或墩柱索塔高度≥</w:t>
            </w:r>
            <w:r>
              <w:rPr>
                <w:rFonts w:hint="default" w:ascii="Times New Roman" w:hAnsi="Times New Roman" w:eastAsia="方正仿宋_GBK" w:cs="Times New Roman"/>
                <w:color w:val="000000"/>
                <w:kern w:val="0"/>
                <w:sz w:val="24"/>
                <w:szCs w:val="24"/>
              </w:rPr>
              <w:t>50</w:t>
            </w:r>
            <w:r>
              <w:rPr>
                <w:rFonts w:hint="eastAsia" w:ascii="方正仿宋_GBK" w:hAnsi="宋体" w:eastAsia="方正仿宋_GBK" w:cs="宋体"/>
                <w:color w:val="000000"/>
                <w:kern w:val="0"/>
                <w:sz w:val="24"/>
                <w:szCs w:val="24"/>
              </w:rPr>
              <w:t>米。</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3000</w:t>
            </w:r>
            <w:r>
              <w:rPr>
                <w:rFonts w:hint="eastAsia" w:ascii="方正仿宋_GBK" w:hAnsi="宋体" w:eastAsia="方正仿宋_GBK" w:cs="宋体"/>
                <w:color w:val="000000"/>
                <w:kern w:val="0"/>
                <w:sz w:val="24"/>
                <w:szCs w:val="24"/>
              </w:rPr>
              <w:t>米或跨度≥</w:t>
            </w:r>
            <w:r>
              <w:rPr>
                <w:rFonts w:hint="default" w:ascii="Times New Roman" w:hAnsi="Times New Roman" w:eastAsia="方正仿宋_GBK" w:cs="Times New Roman"/>
                <w:color w:val="000000"/>
                <w:kern w:val="0"/>
                <w:sz w:val="24"/>
                <w:szCs w:val="24"/>
              </w:rPr>
              <w:t>18</w:t>
            </w:r>
            <w:r>
              <w:rPr>
                <w:rFonts w:hint="eastAsia" w:ascii="方正仿宋_GBK" w:hAnsi="宋体" w:eastAsia="方正仿宋_GBK" w:cs="宋体"/>
                <w:color w:val="000000"/>
                <w:kern w:val="0"/>
                <w:sz w:val="24"/>
                <w:szCs w:val="24"/>
              </w:rPr>
              <w:t>米的暗挖隧道工程，或穿越含Ⅵ级及更为软弱围岩、瓦斯、溶洞等不良地质的暗挖隧道工程。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三层及以上（不计地面道路及地通道层）复杂互通立交工程。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 xml:space="preserve"> 其他规模（工程造价）≥</w:t>
            </w:r>
            <w:r>
              <w:rPr>
                <w:rFonts w:hint="default" w:ascii="Times New Roman" w:hAnsi="Times New Roman" w:eastAsia="方正仿宋_GBK" w:cs="Times New Roman"/>
                <w:color w:val="000000"/>
                <w:kern w:val="0"/>
                <w:sz w:val="24"/>
                <w:szCs w:val="24"/>
              </w:rPr>
              <w:t>10</w:t>
            </w:r>
            <w:r>
              <w:rPr>
                <w:rFonts w:hint="eastAsia" w:ascii="方正仿宋_GBK" w:hAnsi="宋体" w:eastAsia="方正仿宋_GBK" w:cs="宋体"/>
                <w:color w:val="000000"/>
                <w:kern w:val="0"/>
                <w:sz w:val="24"/>
                <w:szCs w:val="24"/>
              </w:rPr>
              <w:t>亿元的市政基础设施项目（按施工许可证计）。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5</w:t>
            </w:r>
            <w:r>
              <w:rPr>
                <w:rFonts w:hint="eastAsia" w:ascii="方正仿宋_GBK" w:hAnsi="宋体" w:eastAsia="方正仿宋_GBK" w:cs="宋体"/>
                <w:color w:val="000000"/>
                <w:kern w:val="0"/>
                <w:sz w:val="24"/>
                <w:szCs w:val="24"/>
              </w:rPr>
              <w:t>新建城市轨道交通工程。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 xml:space="preserve"> 其他工程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抗震设防类别为特殊设防类和重点设防类的建筑，或其地基复杂程度为一级地基（复杂地基）的工程。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因水文、地质或周边环境等施工环境复杂或危险性较大，需采取特殊技术措施保障施工安全的工程或存在其他专家组认为技术复杂的情况。</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二、较高风险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万㎡的体育场馆、展览馆、博物馆、大剧院、学校、医院、综合交通枢纽等人员密集场所的公共建筑</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住宅建筑高度≥</w:t>
            </w:r>
            <w:r>
              <w:rPr>
                <w:rFonts w:hint="default" w:ascii="Times New Roman" w:hAnsi="Times New Roman" w:eastAsia="方正仿宋_GBK" w:cs="Times New Roman"/>
                <w:color w:val="000000"/>
                <w:kern w:val="0"/>
                <w:sz w:val="24"/>
                <w:szCs w:val="24"/>
              </w:rPr>
              <w:t>54</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m，公共建筑的建筑物≥</w:t>
            </w:r>
            <w:r>
              <w:rPr>
                <w:rFonts w:hint="default" w:ascii="Times New Roman" w:hAnsi="Times New Roman" w:eastAsia="方正仿宋_GBK" w:cs="Times New Roman"/>
                <w:color w:val="000000"/>
                <w:kern w:val="0"/>
                <w:sz w:val="24"/>
                <w:szCs w:val="24"/>
              </w:rPr>
              <w:t>50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m的建筑物。</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13</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23</w:t>
            </w:r>
            <w:r>
              <w:rPr>
                <w:rFonts w:hint="eastAsia" w:ascii="方正仿宋_GBK" w:hAnsi="宋体" w:eastAsia="方正仿宋_GBK" w:cs="宋体"/>
                <w:color w:val="000000"/>
                <w:kern w:val="0"/>
                <w:sz w:val="24"/>
                <w:szCs w:val="24"/>
              </w:rPr>
              <w:t>万㎡的房屋建筑项目（按施工许可证计）。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40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150</w:t>
            </w:r>
            <w:r>
              <w:rPr>
                <w:rFonts w:hint="eastAsia" w:ascii="方正仿宋_GBK" w:hAnsi="宋体" w:eastAsia="方正仿宋_GBK" w:cs="宋体"/>
                <w:color w:val="000000"/>
                <w:kern w:val="0"/>
                <w:sz w:val="24"/>
                <w:szCs w:val="24"/>
              </w:rPr>
              <w:t>m或总跨径≥</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m的桥梁工程。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3000</w:t>
            </w:r>
            <w:r>
              <w:rPr>
                <w:rFonts w:hint="eastAsia" w:ascii="方正仿宋_GBK" w:hAnsi="宋体" w:eastAsia="方正仿宋_GBK" w:cs="宋体"/>
                <w:color w:val="000000"/>
                <w:kern w:val="0"/>
                <w:sz w:val="24"/>
                <w:szCs w:val="24"/>
              </w:rPr>
              <w:t>m或跨度≥</w:t>
            </w:r>
            <w:r>
              <w:rPr>
                <w:rFonts w:hint="default" w:ascii="Times New Roman" w:hAnsi="Times New Roman" w:eastAsia="方正仿宋_GBK" w:cs="Times New Roman"/>
                <w:color w:val="000000"/>
                <w:kern w:val="0"/>
                <w:sz w:val="24"/>
                <w:szCs w:val="24"/>
              </w:rPr>
              <w:t>14</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18</w:t>
            </w:r>
            <w:r>
              <w:rPr>
                <w:rFonts w:hint="eastAsia" w:ascii="方正仿宋_GBK" w:hAnsi="宋体" w:eastAsia="方正仿宋_GBK" w:cs="宋体"/>
                <w:color w:val="000000"/>
                <w:kern w:val="0"/>
                <w:sz w:val="24"/>
                <w:szCs w:val="24"/>
              </w:rPr>
              <w:t>m的暗挖隧道工程，或穿越Ⅴ级围岩的暗挖隧道工程，或顶管法施工的隧道</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其他工程规模（工程造价）≥</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亿元，＜</w:t>
            </w:r>
            <w:r>
              <w:rPr>
                <w:rFonts w:hint="default" w:ascii="Times New Roman" w:hAnsi="Times New Roman" w:eastAsia="方正仿宋_GBK" w:cs="Times New Roman"/>
                <w:color w:val="000000"/>
                <w:kern w:val="0"/>
                <w:sz w:val="24"/>
                <w:szCs w:val="24"/>
              </w:rPr>
              <w:t>10</w:t>
            </w:r>
            <w:r>
              <w:rPr>
                <w:rFonts w:hint="eastAsia" w:ascii="方正仿宋_GBK" w:hAnsi="宋体" w:eastAsia="方正仿宋_GBK" w:cs="宋体"/>
                <w:color w:val="000000"/>
                <w:kern w:val="0"/>
                <w:sz w:val="24"/>
                <w:szCs w:val="24"/>
              </w:rPr>
              <w:t>亿元的市政基础设施项目（按施工许可证计）。</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三、中风险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万㎡以下的体育场馆、展览馆、博物馆、大剧院、学校、医院、综合交通枢纽等人员密集场所的公共建筑</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高风险</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项单独发包的装饰及安装工程，高风险</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项单独发包的外立面装饰工程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13</w:t>
            </w:r>
            <w:r>
              <w:rPr>
                <w:rFonts w:hint="eastAsia" w:ascii="方正仿宋_GBK" w:hAnsi="宋体" w:eastAsia="方正仿宋_GBK" w:cs="宋体"/>
                <w:color w:val="000000"/>
                <w:kern w:val="0"/>
                <w:sz w:val="24"/>
                <w:szCs w:val="24"/>
              </w:rPr>
              <w:t>万㎡的房屋建筑项目。</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40</w:t>
            </w:r>
            <w:r>
              <w:rPr>
                <w:rFonts w:hint="eastAsia" w:ascii="方正仿宋_GBK" w:hAnsi="宋体" w:eastAsia="方正仿宋_GBK" w:cs="宋体"/>
                <w:color w:val="000000"/>
                <w:kern w:val="0"/>
                <w:sz w:val="24"/>
                <w:szCs w:val="24"/>
              </w:rPr>
              <w:t>m和总跨径＜</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m的车行桥梁工程。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米和跨度＜</w:t>
            </w:r>
            <w:r>
              <w:rPr>
                <w:rFonts w:hint="default" w:ascii="Times New Roman" w:hAnsi="Times New Roman" w:eastAsia="方正仿宋_GBK" w:cs="Times New Roman"/>
                <w:color w:val="000000"/>
                <w:kern w:val="0"/>
                <w:sz w:val="24"/>
                <w:szCs w:val="24"/>
              </w:rPr>
              <w:t>14</w:t>
            </w:r>
            <w:r>
              <w:rPr>
                <w:rFonts w:hint="eastAsia" w:ascii="方正仿宋_GBK" w:hAnsi="宋体" w:eastAsia="方正仿宋_GBK" w:cs="宋体"/>
                <w:color w:val="000000"/>
                <w:kern w:val="0"/>
                <w:sz w:val="24"/>
                <w:szCs w:val="24"/>
              </w:rPr>
              <w:t>米，不穿越Ⅴ级及更为软弱围岩、瓦斯、溶洞等不良地质的暗挖隧道工程。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其他规模（工程造价）≥</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千万，＜</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亿元的市政基础设施项目。</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 xml:space="preserve"> 其他工程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其它不能明确界定为高风险、较高风险和低风险分类的项目。</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四、低风险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4</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工程规模（建筑面积）&lt;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万㎡的房屋建筑项目</w:t>
            </w:r>
            <w:r>
              <w:rPr>
                <w:rFonts w:hint="eastAsia" w:ascii="方正仿宋_GBK" w:hAnsi="宋体" w:eastAsia="方正仿宋_GBK" w:cs="宋体"/>
                <w:kern w:val="0"/>
                <w:sz w:val="24"/>
                <w:szCs w:val="24"/>
              </w:rPr>
              <w:t>（不含危大工程）。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单独发包的装饰装修及安装工程</w:t>
            </w:r>
            <w:r>
              <w:rPr>
                <w:rFonts w:hint="eastAsia" w:ascii="方正仿宋_GBK" w:hAnsi="宋体" w:eastAsia="方正仿宋_GBK" w:cs="宋体"/>
                <w:kern w:val="0"/>
                <w:sz w:val="24"/>
                <w:szCs w:val="24"/>
              </w:rPr>
              <w:t>（不含危大工程）。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4</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工程规模（工程造价）&lt;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千万元的市政基础设施项目</w:t>
            </w:r>
            <w:r>
              <w:rPr>
                <w:rFonts w:hint="eastAsia" w:ascii="方正仿宋_GBK" w:hAnsi="宋体" w:eastAsia="方正仿宋_GBK" w:cs="宋体"/>
                <w:kern w:val="0"/>
                <w:sz w:val="24"/>
                <w:szCs w:val="24"/>
              </w:rPr>
              <w:t>（不含危大工程）。</w:t>
            </w:r>
          </w:p>
        </w:tc>
      </w:tr>
    </w:tbl>
    <w:p>
      <w:pPr>
        <w:rPr>
          <w:rFonts w:hint="eastAsia"/>
        </w:rPr>
      </w:pPr>
    </w:p>
    <w:p>
      <w:pPr>
        <w:spacing w:line="560" w:lineRule="exact"/>
        <w:jc w:val="left"/>
        <w:rPr>
          <w:rFonts w:ascii="Times New Roman" w:hAnsi="Times New Roman" w:eastAsia="方正仿宋_GBK" w:cs="Times New Roman"/>
          <w:kern w:val="0"/>
          <w:sz w:val="32"/>
          <w:szCs w:val="32"/>
        </w:rPr>
        <w:sectPr>
          <w:footerReference r:id="rId3" w:type="default"/>
          <w:footerReference r:id="rId4" w:type="even"/>
          <w:pgSz w:w="16838" w:h="11906" w:orient="landscape"/>
          <w:pgMar w:top="1440" w:right="1080" w:bottom="1440" w:left="1080" w:header="851" w:footer="992" w:gutter="0"/>
          <w:pgNumType w:fmt="numberInDash"/>
          <w:cols w:space="425" w:num="1"/>
          <w:docGrid w:type="lines" w:linePitch="312" w:charSpace="0"/>
        </w:sectPr>
      </w:pPr>
    </w:p>
    <w:p>
      <w:pPr>
        <w:pBdr>
          <w:top w:val="none" w:color="auto" w:sz="0" w:space="0"/>
          <w:left w:val="none" w:color="auto" w:sz="0" w:space="0"/>
          <w:bottom w:val="none" w:color="auto" w:sz="0" w:space="1"/>
          <w:right w:val="none" w:color="auto" w:sz="0" w:space="0"/>
          <w:between w:val="none" w:color="auto" w:sz="0" w:space="0"/>
        </w:pBdr>
        <w:tabs>
          <w:tab w:val="left" w:pos="1530"/>
        </w:tabs>
        <w:spacing w:line="380" w:lineRule="exact"/>
        <w:ind w:left="0" w:leftChars="0" w:firstLine="0" w:firstLineChars="0"/>
        <w:rPr>
          <w:rFonts w:ascii="Times New Roman" w:hAnsi="Times New Roman" w:eastAsia="方正仿宋_GBK" w:cs="Times New Roman"/>
          <w:kern w:val="0"/>
          <w:sz w:val="32"/>
          <w:szCs w:val="32"/>
        </w:rPr>
      </w:pPr>
      <w:bookmarkStart w:id="0" w:name="_GoBack"/>
      <w:bookmarkEnd w:id="0"/>
    </w:p>
    <w:sectPr>
      <w:footerReference r:id="rId5" w:type="default"/>
      <w:footerReference r:id="rId6" w:type="even"/>
      <w:pgSz w:w="16838" w:h="11906" w:orient="landscape"/>
      <w:pgMar w:top="1531" w:right="2098" w:bottom="1531" w:left="1984"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彩虹粗仿宋">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YjhiZGVjYmRmMzUzNjM4Y2Q4NDY4OTlmMDcxZjQifQ=="/>
  </w:docVars>
  <w:rsids>
    <w:rsidRoot w:val="00AA33E0"/>
    <w:rsid w:val="00084B04"/>
    <w:rsid w:val="000A1284"/>
    <w:rsid w:val="000A712E"/>
    <w:rsid w:val="000C47B9"/>
    <w:rsid w:val="00113B03"/>
    <w:rsid w:val="00144C9F"/>
    <w:rsid w:val="00160E82"/>
    <w:rsid w:val="001706F9"/>
    <w:rsid w:val="00192ABB"/>
    <w:rsid w:val="001953D0"/>
    <w:rsid w:val="00200B02"/>
    <w:rsid w:val="0024763A"/>
    <w:rsid w:val="002A4D6E"/>
    <w:rsid w:val="002E47EF"/>
    <w:rsid w:val="00316DCC"/>
    <w:rsid w:val="0039296D"/>
    <w:rsid w:val="003B1B99"/>
    <w:rsid w:val="003B4174"/>
    <w:rsid w:val="003D692F"/>
    <w:rsid w:val="003E7576"/>
    <w:rsid w:val="00402603"/>
    <w:rsid w:val="00453740"/>
    <w:rsid w:val="004A69B1"/>
    <w:rsid w:val="004E2A4B"/>
    <w:rsid w:val="004E629E"/>
    <w:rsid w:val="004F4D92"/>
    <w:rsid w:val="00503890"/>
    <w:rsid w:val="00504F7D"/>
    <w:rsid w:val="00507923"/>
    <w:rsid w:val="00532A56"/>
    <w:rsid w:val="00561071"/>
    <w:rsid w:val="005907FF"/>
    <w:rsid w:val="00592659"/>
    <w:rsid w:val="005B44BB"/>
    <w:rsid w:val="005B6FAD"/>
    <w:rsid w:val="005C1711"/>
    <w:rsid w:val="005C4AD0"/>
    <w:rsid w:val="005D1A0C"/>
    <w:rsid w:val="006E4EBA"/>
    <w:rsid w:val="00712299"/>
    <w:rsid w:val="0077689C"/>
    <w:rsid w:val="00793F4F"/>
    <w:rsid w:val="007A49B2"/>
    <w:rsid w:val="007F4E09"/>
    <w:rsid w:val="008228EB"/>
    <w:rsid w:val="00826139"/>
    <w:rsid w:val="008335B3"/>
    <w:rsid w:val="00860B42"/>
    <w:rsid w:val="00882002"/>
    <w:rsid w:val="008F3B58"/>
    <w:rsid w:val="009025B9"/>
    <w:rsid w:val="00904568"/>
    <w:rsid w:val="00926D8F"/>
    <w:rsid w:val="00944764"/>
    <w:rsid w:val="00982E0B"/>
    <w:rsid w:val="00992E51"/>
    <w:rsid w:val="009B7DDD"/>
    <w:rsid w:val="009D114D"/>
    <w:rsid w:val="009F4211"/>
    <w:rsid w:val="00A146B0"/>
    <w:rsid w:val="00A31F8B"/>
    <w:rsid w:val="00A40EC7"/>
    <w:rsid w:val="00A54D98"/>
    <w:rsid w:val="00A55F74"/>
    <w:rsid w:val="00A66F34"/>
    <w:rsid w:val="00A7391A"/>
    <w:rsid w:val="00A82900"/>
    <w:rsid w:val="00A90557"/>
    <w:rsid w:val="00AA33E0"/>
    <w:rsid w:val="00AB77D0"/>
    <w:rsid w:val="00AD5749"/>
    <w:rsid w:val="00AD5EAE"/>
    <w:rsid w:val="00B209D6"/>
    <w:rsid w:val="00B3499F"/>
    <w:rsid w:val="00B446C6"/>
    <w:rsid w:val="00B66F46"/>
    <w:rsid w:val="00B72578"/>
    <w:rsid w:val="00B92300"/>
    <w:rsid w:val="00BA189A"/>
    <w:rsid w:val="00BA4942"/>
    <w:rsid w:val="00BC6164"/>
    <w:rsid w:val="00C10277"/>
    <w:rsid w:val="00C72548"/>
    <w:rsid w:val="00C80610"/>
    <w:rsid w:val="00C83E27"/>
    <w:rsid w:val="00CC28FD"/>
    <w:rsid w:val="00CD22F0"/>
    <w:rsid w:val="00CF30A9"/>
    <w:rsid w:val="00CF64FA"/>
    <w:rsid w:val="00D12316"/>
    <w:rsid w:val="00D6616B"/>
    <w:rsid w:val="00DE74EC"/>
    <w:rsid w:val="00DF2968"/>
    <w:rsid w:val="00E65E19"/>
    <w:rsid w:val="00E716D0"/>
    <w:rsid w:val="00E80EF5"/>
    <w:rsid w:val="00E84594"/>
    <w:rsid w:val="00EE1D2D"/>
    <w:rsid w:val="00EF7A4F"/>
    <w:rsid w:val="00F07B1D"/>
    <w:rsid w:val="00F66D6D"/>
    <w:rsid w:val="00F71C0B"/>
    <w:rsid w:val="00F741E6"/>
    <w:rsid w:val="00F97A11"/>
    <w:rsid w:val="00FB0117"/>
    <w:rsid w:val="063853B7"/>
    <w:rsid w:val="0CF6684D"/>
    <w:rsid w:val="113F6627"/>
    <w:rsid w:val="1C0509A0"/>
    <w:rsid w:val="480D1797"/>
    <w:rsid w:val="4E492FB9"/>
    <w:rsid w:val="509A549A"/>
    <w:rsid w:val="56294C50"/>
    <w:rsid w:val="60873281"/>
    <w:rsid w:val="616B2979"/>
    <w:rsid w:val="63CF354C"/>
    <w:rsid w:val="77FFD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 w:type="paragraph" w:customStyle="1" w:styleId="1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572</Words>
  <Characters>3265</Characters>
  <Lines>27</Lines>
  <Paragraphs>7</Paragraphs>
  <TotalTime>6</TotalTime>
  <ScaleCrop>false</ScaleCrop>
  <LinksUpToDate>false</LinksUpToDate>
  <CharactersWithSpaces>3830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2023-05-11T11:07:00Z</dcterms:created>
  <dc:creator>Administrator</dc:creator>
  <cp:lastModifiedBy>ASUS</cp:lastModifiedBy>
  <cp:lastPrinted>2023-06-29T17:52:00Z</cp:lastPrinted>
  <dcterms:modified xsi:type="dcterms:W3CDTF">2023-07-03T01:52:19Z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3D1DCE657A814A389676572FD91D0AD0</vt:lpwstr>
  </property>
</Properties>
</file>