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A" w:rsidRDefault="00505DE6">
      <w:pPr>
        <w:pStyle w:val="a5"/>
        <w:spacing w:line="570" w:lineRule="exact"/>
        <w:rPr>
          <w:rFonts w:ascii="方正黑体_GBK" w:eastAsia="方正黑体_GBK" w:hAnsi="方正黑体_GBK" w:cs="方正黑体_GBK"/>
          <w:b w:val="0"/>
          <w:w w:val="90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w w:val="90"/>
          <w:kern w:val="2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 w:val="0"/>
          <w:w w:val="90"/>
          <w:kern w:val="2"/>
          <w:sz w:val="32"/>
          <w:szCs w:val="32"/>
        </w:rPr>
        <w:t>1</w:t>
      </w:r>
    </w:p>
    <w:p w:rsidR="00AC434A" w:rsidRDefault="00AC434A">
      <w:pPr>
        <w:pStyle w:val="a5"/>
        <w:spacing w:line="570" w:lineRule="exact"/>
        <w:jc w:val="center"/>
        <w:rPr>
          <w:rFonts w:ascii="Times New Roman" w:eastAsia="方正小标宋_GBK" w:hAnsi="Times New Roman"/>
          <w:b w:val="0"/>
          <w:w w:val="90"/>
          <w:kern w:val="2"/>
          <w:sz w:val="44"/>
          <w:szCs w:val="44"/>
        </w:rPr>
      </w:pPr>
    </w:p>
    <w:p w:rsidR="00AC434A" w:rsidRDefault="00505DE6">
      <w:pPr>
        <w:pStyle w:val="a5"/>
        <w:spacing w:line="570" w:lineRule="exact"/>
        <w:jc w:val="center"/>
        <w:rPr>
          <w:rFonts w:ascii="方正小标宋_GBK" w:eastAsia="方正小标宋_GBK" w:hAnsi="方正小标宋_GBK" w:cs="方正小标宋_GBK"/>
          <w:b w:val="0"/>
          <w:w w:val="90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w w:val="90"/>
          <w:kern w:val="2"/>
          <w:sz w:val="44"/>
          <w:szCs w:val="44"/>
        </w:rPr>
        <w:t>重庆市住房和城乡建设领域</w:t>
      </w:r>
    </w:p>
    <w:p w:rsidR="00AC434A" w:rsidRDefault="00505DE6">
      <w:pPr>
        <w:pStyle w:val="a5"/>
        <w:spacing w:line="570" w:lineRule="exact"/>
        <w:jc w:val="center"/>
        <w:rPr>
          <w:rFonts w:ascii="方正小标宋_GBK" w:eastAsia="方正小标宋_GBK" w:hAnsi="方正小标宋_GBK" w:cs="方正小标宋_GBK"/>
          <w:b w:val="0"/>
          <w:w w:val="90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w w:val="90"/>
          <w:kern w:val="2"/>
          <w:sz w:val="44"/>
          <w:szCs w:val="44"/>
        </w:rPr>
        <w:t>行政处罚裁量权适用规则</w:t>
      </w:r>
    </w:p>
    <w:p w:rsidR="00AC434A" w:rsidRDefault="00AC434A">
      <w:pPr>
        <w:pStyle w:val="a5"/>
        <w:spacing w:line="570" w:lineRule="exact"/>
        <w:jc w:val="center"/>
        <w:rPr>
          <w:rFonts w:ascii="Times New Roman" w:eastAsia="方正小标宋_GBK" w:hAnsi="Times New Roman"/>
          <w:b w:val="0"/>
          <w:w w:val="90"/>
          <w:kern w:val="2"/>
          <w:sz w:val="44"/>
          <w:szCs w:val="44"/>
        </w:rPr>
      </w:pP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第一条</w:t>
      </w:r>
      <w:r>
        <w:rPr>
          <w:rFonts w:ascii="Times New Roman" w:eastAsia="黑体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为规范全市住房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领域行政处罚行为，促进依法行政，保护市场主体和人民群众合法权益，维护社会公平正义，根据《中华人民共和国行政处罚法》《重庆市规范行政处罚裁量权办法》《住房和城乡建设部关于印发〈规范住房和城乡建设部工程建设行政处罚裁量权实施办法〉和〈住房和城乡建设部工程建设行政处罚裁量基准〉的通知》，结合本市实际，制定本规则。</w:t>
      </w: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第二条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全市住房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城乡建设部门行使行政处罚裁量权，适用本规则。</w:t>
      </w: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第三条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本规则所称行政处罚裁量权，是指本市住房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城乡建设部门在实施行政处罚时，在法定权限范围，综合考虑行政相对人违法行为的事实、性质、情节、社会危害程度等因素，决定是否给予行政处罚、给予行政处罚具体种类和幅度的处置权。</w:t>
      </w: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第四条</w:t>
      </w:r>
      <w:r>
        <w:rPr>
          <w:rFonts w:ascii="Times New Roman" w:eastAsia="方正黑体_GBK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全市住房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部门行使行政处罚裁量权，应当遵循公正公开、合法合理、程序正当、过罚相当、处罚与教育相结合、高效便民等原则。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第五条</w:t>
      </w:r>
      <w:r>
        <w:rPr>
          <w:rFonts w:ascii="Times New Roman" w:eastAsia="仿宋" w:hAnsi="Times New Roman"/>
          <w:b w:val="0"/>
          <w:bCs/>
          <w:kern w:val="44"/>
          <w:sz w:val="32"/>
        </w:rPr>
        <w:t xml:space="preserve">  </w:t>
      </w:r>
      <w:r>
        <w:rPr>
          <w:rFonts w:ascii="Times New Roman" w:eastAsia="方正仿宋_GBK" w:hAnsi="Times New Roman"/>
          <w:b w:val="0"/>
          <w:sz w:val="32"/>
        </w:rPr>
        <w:t>对法律、法规、规章规定的有裁量空间的行政处罚</w:t>
      </w:r>
      <w:r>
        <w:rPr>
          <w:rFonts w:ascii="Times New Roman" w:eastAsia="方正仿宋_GBK" w:hAnsi="Times New Roman"/>
          <w:b w:val="0"/>
          <w:sz w:val="32"/>
        </w:rPr>
        <w:lastRenderedPageBreak/>
        <w:t>事项，市住房城乡建委制定《重庆市住房</w:t>
      </w:r>
      <w:r>
        <w:rPr>
          <w:rFonts w:ascii="Times New Roman" w:eastAsia="方正仿宋_GBK" w:hAnsi="Times New Roman" w:hint="eastAsia"/>
          <w:b w:val="0"/>
          <w:sz w:val="32"/>
        </w:rPr>
        <w:t>和</w:t>
      </w:r>
      <w:r>
        <w:rPr>
          <w:rFonts w:ascii="Times New Roman" w:eastAsia="方正仿宋_GBK" w:hAnsi="Times New Roman"/>
          <w:b w:val="0"/>
          <w:sz w:val="32"/>
        </w:rPr>
        <w:t>城乡建设领域行政处罚裁量基准》（以下简称《裁量基准》）《重庆市住房</w:t>
      </w:r>
      <w:r>
        <w:rPr>
          <w:rFonts w:ascii="Times New Roman" w:eastAsia="方正仿宋_GBK" w:hAnsi="Times New Roman" w:hint="eastAsia"/>
          <w:b w:val="0"/>
          <w:sz w:val="32"/>
        </w:rPr>
        <w:t>和</w:t>
      </w:r>
      <w:r>
        <w:rPr>
          <w:rFonts w:ascii="Times New Roman" w:eastAsia="方正仿宋_GBK" w:hAnsi="Times New Roman"/>
          <w:b w:val="0"/>
          <w:sz w:val="32"/>
        </w:rPr>
        <w:t>城乡建设轻微违法行为</w:t>
      </w:r>
      <w:r>
        <w:rPr>
          <w:rFonts w:ascii="Times New Roman" w:eastAsia="方正仿宋_GBK" w:hAnsi="Times New Roman" w:hint="eastAsia"/>
          <w:b w:val="0"/>
          <w:sz w:val="32"/>
        </w:rPr>
        <w:t>不予</w:t>
      </w:r>
      <w:r>
        <w:rPr>
          <w:rFonts w:ascii="Times New Roman" w:eastAsia="方正仿宋_GBK" w:hAnsi="Times New Roman"/>
          <w:b w:val="0"/>
          <w:sz w:val="32"/>
        </w:rPr>
        <w:t>行政处罚清单》（以</w:t>
      </w:r>
      <w:r>
        <w:rPr>
          <w:rFonts w:ascii="Times New Roman" w:eastAsia="方正仿宋_GBK" w:hAnsi="Times New Roman"/>
          <w:b w:val="0"/>
          <w:sz w:val="32"/>
        </w:rPr>
        <w:t>下简称《</w:t>
      </w:r>
      <w:r>
        <w:rPr>
          <w:rFonts w:ascii="Times New Roman" w:eastAsia="方正仿宋_GBK" w:hAnsi="Times New Roman" w:hint="eastAsia"/>
          <w:b w:val="0"/>
          <w:sz w:val="32"/>
        </w:rPr>
        <w:t>不予</w:t>
      </w:r>
      <w:r>
        <w:rPr>
          <w:rFonts w:ascii="Times New Roman" w:eastAsia="方正仿宋_GBK" w:hAnsi="Times New Roman"/>
          <w:b w:val="0"/>
          <w:sz w:val="32"/>
        </w:rPr>
        <w:t>行政处罚清单》），明确行政处罚裁量标准和适用情形，并进行动态调整。</w:t>
      </w:r>
    </w:p>
    <w:p w:rsidR="00AC434A" w:rsidRDefault="00505DE6">
      <w:pPr>
        <w:adjustRightIn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各区县住房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部门可以结合当地经济社会发展状况以及违法行为的事实、性质、情节、社会危害程度等因素，对《裁量基准》</w:t>
      </w:r>
      <w:r>
        <w:rPr>
          <w:rFonts w:ascii="Times New Roman" w:eastAsia="方正仿宋_GBK" w:hAnsi="Times New Roman"/>
          <w:b w:val="0"/>
          <w:sz w:val="32"/>
        </w:rPr>
        <w:t>《</w:t>
      </w:r>
      <w:r>
        <w:rPr>
          <w:rFonts w:ascii="Times New Roman" w:eastAsia="方正仿宋_GBK" w:hAnsi="Times New Roman" w:hint="eastAsia"/>
          <w:b w:val="0"/>
          <w:sz w:val="32"/>
        </w:rPr>
        <w:t>不予</w:t>
      </w:r>
      <w:r>
        <w:rPr>
          <w:rFonts w:ascii="Times New Roman" w:eastAsia="方正仿宋_GBK" w:hAnsi="Times New Roman"/>
          <w:b w:val="0"/>
          <w:sz w:val="32"/>
        </w:rPr>
        <w:t>行政处罚清单》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中的适用条件、处罚标准进行合理细化量化。</w:t>
      </w: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第六条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市住房城乡建委建立裁量基准动态调整机制，发生以下情形时，依法进行调整，并向社会公开：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（一）所依据的法律、法规、规章作出修改的；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（二）客观情况发生重大变化的；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（三）裁量基准与实际工作不相适应的。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第七条</w:t>
      </w:r>
      <w:r>
        <w:rPr>
          <w:rFonts w:ascii="Times New Roman" w:eastAsia="方正黑体_GBK" w:hAnsi="Times New Roman"/>
          <w:b w:val="0"/>
          <w:bCs/>
          <w:sz w:val="32"/>
        </w:rPr>
        <w:t xml:space="preserve"> </w:t>
      </w:r>
      <w:r>
        <w:rPr>
          <w:rFonts w:ascii="Times New Roman" w:eastAsia="方正仿宋_GBK" w:hAnsi="Times New Roman"/>
          <w:b w:val="0"/>
          <w:sz w:val="32"/>
        </w:rPr>
        <w:t>裁量基准包括违法行为、法定依据、裁量阶次、适用条件和处罚标准等内容。按照以下规则制定：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（一）法律、法规、规章规定可以选择是否给予行政处罚的，明确给予行政处罚的具体裁量标准和适用情形；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（二）法律、法规、规章规定可以选择行政处罚种类的，明确适用不同种类行政处罚的具体裁量标准和适用情形；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（三）法律、法规、规章规定可以选择行政处罚幅度的，明确规定适用不同阶次的具体裁量标准和适用条件；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lastRenderedPageBreak/>
        <w:t>（四）法律、法规、规章规定可以单处也可以并处行政处罚的，明确单处或者并处行政处罚的具体裁量标准和适用情形；</w:t>
      </w:r>
    </w:p>
    <w:p w:rsidR="00AC434A" w:rsidRDefault="00505DE6">
      <w:pPr>
        <w:pStyle w:val="a3"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（五）依法应当明确的其他事项。</w:t>
      </w:r>
    </w:p>
    <w:p w:rsidR="00AC434A" w:rsidRDefault="00505DE6">
      <w:pPr>
        <w:pStyle w:val="a3"/>
        <w:widowControl/>
        <w:numPr>
          <w:ilvl w:val="255"/>
          <w:numId w:val="0"/>
        </w:numPr>
        <w:topLinePunct/>
        <w:spacing w:after="0" w:line="580" w:lineRule="exact"/>
        <w:ind w:firstLineChars="200" w:firstLine="640"/>
        <w:rPr>
          <w:rFonts w:ascii="Times New Roman" w:eastAsia="仿宋" w:hAnsi="Times New Roman"/>
          <w:b w:val="0"/>
          <w:bCs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住房</w:t>
      </w:r>
      <w:r>
        <w:rPr>
          <w:rFonts w:ascii="Times New Roman" w:eastAsia="方正仿宋_GBK" w:hAnsi="Times New Roman" w:hint="eastAsia"/>
          <w:b w:val="0"/>
          <w:sz w:val="32"/>
        </w:rPr>
        <w:t>和</w:t>
      </w:r>
      <w:r>
        <w:rPr>
          <w:rFonts w:ascii="Times New Roman" w:eastAsia="方正仿宋_GBK" w:hAnsi="Times New Roman"/>
          <w:b w:val="0"/>
          <w:sz w:val="32"/>
        </w:rPr>
        <w:t>城乡建设领域法律、法规、规章中涉及的责令限期改正、责令停止违法行为、撤销许可、限制申请许可等非行政处罚行为，在其他行政管理工作中实施，不在《裁量基准》具体标准中进行规定。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第八条</w:t>
      </w:r>
      <w:r>
        <w:rPr>
          <w:rFonts w:ascii="Times New Roman" w:eastAsia="方正黑体_GBK" w:hAnsi="Times New Roman"/>
          <w:b w:val="0"/>
          <w:bCs/>
          <w:sz w:val="32"/>
        </w:rPr>
        <w:t xml:space="preserve"> </w:t>
      </w:r>
      <w:r>
        <w:rPr>
          <w:rFonts w:ascii="Times New Roman" w:eastAsia="方正仿宋_GBK" w:hAnsi="Times New Roman"/>
          <w:b w:val="0"/>
          <w:sz w:val="32"/>
        </w:rPr>
        <w:t>全市住房</w:t>
      </w:r>
      <w:r>
        <w:rPr>
          <w:rFonts w:ascii="Times New Roman" w:eastAsia="方正仿宋_GBK" w:hAnsi="Times New Roman" w:hint="eastAsia"/>
          <w:b w:val="0"/>
          <w:sz w:val="32"/>
        </w:rPr>
        <w:t>和</w:t>
      </w:r>
      <w:r>
        <w:rPr>
          <w:rFonts w:ascii="Times New Roman" w:eastAsia="方正仿宋_GBK" w:hAnsi="Times New Roman"/>
          <w:b w:val="0"/>
          <w:sz w:val="32"/>
        </w:rPr>
        <w:t>城乡建设</w:t>
      </w:r>
      <w:r>
        <w:rPr>
          <w:rFonts w:ascii="Times New Roman" w:eastAsia="方正仿宋_GBK" w:hAnsi="Times New Roman" w:hint="eastAsia"/>
          <w:b w:val="0"/>
          <w:sz w:val="32"/>
        </w:rPr>
        <w:t>主管</w:t>
      </w:r>
      <w:r>
        <w:rPr>
          <w:rFonts w:ascii="Times New Roman" w:eastAsia="方正仿宋_GBK" w:hAnsi="Times New Roman"/>
          <w:b w:val="0"/>
          <w:sz w:val="32"/>
        </w:rPr>
        <w:t>部门运用行政处罚裁量权时，根据违法行为的事实、性质、情节以及社会危害程度，综合考虑以下因素确定。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（一）当事人是否具有主观故意；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（二）涉案财物或违法所得的数额；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（三）违法行为持续的时间；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（四）违法行为的规模或涉及的区域范围；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（五）当事人是否多次违法；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（六）当事人</w:t>
      </w:r>
      <w:r>
        <w:rPr>
          <w:rFonts w:ascii="Times New Roman" w:eastAsia="方正仿宋_GBK" w:hAnsi="Times New Roman"/>
          <w:b w:val="0"/>
          <w:sz w:val="32"/>
        </w:rPr>
        <w:t>违法行为整改情况；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（七）违法行为的危害后果、社会影响程度；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（八）其他依法应予考虑的因素。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第九条</w:t>
      </w:r>
      <w:r>
        <w:rPr>
          <w:rFonts w:ascii="Times New Roman" w:eastAsia="方正黑体_GBK" w:hAnsi="Times New Roman"/>
          <w:b w:val="0"/>
          <w:bCs/>
          <w:sz w:val="32"/>
        </w:rPr>
        <w:t xml:space="preserve">  </w:t>
      </w:r>
      <w:r>
        <w:rPr>
          <w:rFonts w:ascii="Times New Roman" w:eastAsia="方正仿宋_GBK" w:hAnsi="Times New Roman"/>
          <w:b w:val="0"/>
          <w:sz w:val="32"/>
        </w:rPr>
        <w:t>当事人有下列情形之一的，可以认定为拒不改正：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（一）拒绝、阻挠执法人员现场调查取证的；</w:t>
      </w:r>
      <w:r>
        <w:rPr>
          <w:rFonts w:ascii="Times New Roman" w:eastAsia="方正仿宋_GBK" w:hAnsi="Times New Roman"/>
          <w:b w:val="0"/>
          <w:sz w:val="32"/>
        </w:rPr>
        <w:t xml:space="preserve"> 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（二）拒不签收《责令改正通知书》或者其他执法文书的；</w:t>
      </w:r>
      <w:r>
        <w:rPr>
          <w:rFonts w:ascii="Times New Roman" w:eastAsia="方正仿宋_GBK" w:hAnsi="Times New Roman"/>
          <w:b w:val="0"/>
          <w:sz w:val="32"/>
        </w:rPr>
        <w:t xml:space="preserve"> 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lastRenderedPageBreak/>
        <w:t>（三）当场拒绝改正违法行为的；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（四）可以认定拒不改正的其他情形。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第十条</w:t>
      </w:r>
      <w:r>
        <w:rPr>
          <w:rFonts w:ascii="Times New Roman" w:eastAsia="仿宋" w:hAnsi="Times New Roman"/>
          <w:b w:val="0"/>
          <w:bCs/>
          <w:sz w:val="32"/>
        </w:rPr>
        <w:t xml:space="preserve"> </w:t>
      </w:r>
      <w:r>
        <w:rPr>
          <w:rFonts w:ascii="Times New Roman" w:eastAsia="方正仿宋_GBK" w:hAnsi="Times New Roman"/>
          <w:b w:val="0"/>
          <w:sz w:val="32"/>
        </w:rPr>
        <w:t>当事人有下列情形之一，可以认定为逾期不改正：</w:t>
      </w:r>
      <w:r>
        <w:rPr>
          <w:rFonts w:ascii="Times New Roman" w:eastAsia="方正仿宋_GBK" w:hAnsi="Times New Roman"/>
          <w:b w:val="0"/>
          <w:sz w:val="32"/>
        </w:rPr>
        <w:t xml:space="preserve"> 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（一）拒绝、阻扰执法人员实施复查的；</w:t>
      </w:r>
      <w:r>
        <w:rPr>
          <w:rFonts w:ascii="Times New Roman" w:eastAsia="方正仿宋_GBK" w:hAnsi="Times New Roman"/>
          <w:b w:val="0"/>
          <w:sz w:val="32"/>
        </w:rPr>
        <w:t xml:space="preserve"> 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（二）执法人员复查发现仍有相同违法行为的；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（三）可以认定逾期不改正的其他情形。</w:t>
      </w:r>
    </w:p>
    <w:p w:rsidR="00AC434A" w:rsidRDefault="00505DE6">
      <w:pPr>
        <w:pStyle w:val="a5"/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第十一条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不予处罚是指案件存在法定情形或因法定原因，住房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部门对当事人的特定违法行为决定不给予行政处罚。当事人有下列情形之一的，应当不予行政处罚：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（一）违法行为轻微并及时纠正，没有造成危害后果的；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（二）除法律、行政法规另有规定外，当事人有证据足以证明没有主观过错的；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（三）除法律另有规定外，违法行为在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年内未被发现的，或者涉及公民生命健康安全、金融安全且有危害后果的违法行为在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5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年内未被发现的；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（四）依法不予行政处罚的其他情形。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初次违法且危害后果轻微并及时改正的，可以不予行政处罚。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第十二条</w:t>
      </w:r>
      <w:r>
        <w:rPr>
          <w:rFonts w:ascii="Times New Roman" w:eastAsia="黑体" w:hAnsi="Times New Roman"/>
          <w:b w:val="0"/>
          <w:bCs/>
          <w:sz w:val="32"/>
        </w:rPr>
        <w:t xml:space="preserve"> </w:t>
      </w:r>
      <w:r>
        <w:rPr>
          <w:rFonts w:ascii="Times New Roman" w:eastAsia="方正仿宋_GBK" w:hAnsi="Times New Roman"/>
          <w:b w:val="0"/>
          <w:sz w:val="32"/>
        </w:rPr>
        <w:t>当事人有下列情形之一的，应当根据法律、法规、规章从轻或者减轻处罚：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（一）主动供述住房城乡建设部门尚未掌握违法行为的；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（二）积极整改，主动消除或减轻违法行为危害后果的；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lastRenderedPageBreak/>
        <w:t>（三）主动中止违法行为，危害后果轻微的；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  <w:shd w:val="clear" w:color="auto" w:fill="FFFFFF"/>
        </w:rPr>
      </w:pPr>
      <w:r>
        <w:rPr>
          <w:rFonts w:ascii="Times New Roman" w:eastAsia="方正仿宋_GBK" w:hAnsi="Times New Roman"/>
          <w:b w:val="0"/>
          <w:sz w:val="32"/>
        </w:rPr>
        <w:t>（四）</w:t>
      </w:r>
      <w:r>
        <w:rPr>
          <w:rFonts w:ascii="Times New Roman" w:eastAsia="方正仿宋_GBK" w:hAnsi="Times New Roman"/>
          <w:b w:val="0"/>
          <w:sz w:val="32"/>
          <w:shd w:val="clear" w:color="auto" w:fill="FFFFFF"/>
        </w:rPr>
        <w:t>受他人胁迫或者诱骗实施违法行为；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 w:val="0"/>
          <w:sz w:val="32"/>
        </w:rPr>
        <w:t>（五）</w:t>
      </w:r>
      <w:r>
        <w:rPr>
          <w:rFonts w:ascii="Times New Roman" w:eastAsia="方正仿宋_GBK" w:hAnsi="Times New Roman"/>
          <w:b w:val="0"/>
          <w:sz w:val="32"/>
          <w:shd w:val="clear" w:color="auto" w:fill="FFFFFF"/>
        </w:rPr>
        <w:t>配合</w:t>
      </w:r>
      <w:r>
        <w:rPr>
          <w:rFonts w:ascii="Times New Roman" w:eastAsia="方正仿宋_GBK" w:hAnsi="Times New Roman"/>
          <w:b w:val="0"/>
          <w:sz w:val="32"/>
        </w:rPr>
        <w:t>住房城乡建设</w:t>
      </w:r>
      <w:r>
        <w:rPr>
          <w:rFonts w:ascii="Times New Roman" w:eastAsia="方正仿宋_GBK" w:hAnsi="Times New Roman"/>
          <w:b w:val="0"/>
          <w:sz w:val="32"/>
          <w:shd w:val="clear" w:color="auto" w:fill="FFFFFF"/>
        </w:rPr>
        <w:t>部门查处违法行为有立功表现；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（六）其他应当依法从轻或者减轻处罚的情形。</w:t>
      </w:r>
    </w:p>
    <w:p w:rsidR="00AC434A" w:rsidRDefault="00505DE6">
      <w:pPr>
        <w:pStyle w:val="a5"/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第十三条</w:t>
      </w:r>
      <w:r>
        <w:rPr>
          <w:rFonts w:ascii="Times New Roman" w:eastAsia="黑体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当事人有下列情形之一的，应当从重行政处罚：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（一）对违法行为拒不改正的；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（二）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多次实施同一违法行为且已受过行政处罚的；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（三）伪造、变造、隐匿或者销毁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违法证据；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（四）阻挠、抗拒执法，拒绝提供证据、阻碍调查或者对行政执法人员打击报复；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（五）发生质量安全事故或造成重大社会影响的；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（六）对举报人、证人、行政执法人员有报复行为的；</w:t>
      </w:r>
    </w:p>
    <w:p w:rsidR="00AC434A" w:rsidRDefault="00505DE6">
      <w:pPr>
        <w:pStyle w:val="a5"/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（七）其他可以依法从重处罚的情形。</w:t>
      </w:r>
    </w:p>
    <w:p w:rsidR="00AC434A" w:rsidRDefault="00505DE6">
      <w:pPr>
        <w:pStyle w:val="a5"/>
        <w:numPr>
          <w:ilvl w:val="255"/>
          <w:numId w:val="0"/>
        </w:numPr>
        <w:topLinePunct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发生重大自然灾害、事故灾难或者社会安全事件等突发事件，为了控制、减轻和消除突发事件引起的社会危害，全市住房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部门对违反突发事件应对措施的行为，应当依法快速、从重处罚。</w:t>
      </w:r>
    </w:p>
    <w:p w:rsidR="00AC434A" w:rsidRDefault="00505DE6">
      <w:pPr>
        <w:pStyle w:val="a7"/>
        <w:widowControl/>
        <w:spacing w:beforeAutospacing="0" w:afterAutospacing="0" w:line="580" w:lineRule="exact"/>
        <w:ind w:firstLineChars="200" w:firstLine="643"/>
        <w:jc w:val="both"/>
        <w:rPr>
          <w:rFonts w:ascii="Times New Roman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第十四条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  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罚款数额的确定遵循下列规则：</w:t>
      </w:r>
    </w:p>
    <w:p w:rsidR="00AC434A" w:rsidRDefault="00505DE6">
      <w:pPr>
        <w:pStyle w:val="a7"/>
        <w:widowControl/>
        <w:spacing w:beforeAutospacing="0" w:afterAutospacing="0" w:line="580" w:lineRule="exact"/>
        <w:ind w:firstLine="504"/>
        <w:jc w:val="both"/>
        <w:rPr>
          <w:rFonts w:ascii="Times New Roman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（一）罚款为一定金额的倍数的，减轻处罚应当低于最低倍数，从轻处罚按最低倍数到最高倍数这一幅度的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30%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以下确定（包含本数），从重处罚按最低倍数到最高倍数这一幅度的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70%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lastRenderedPageBreak/>
        <w:t>以上确定（包含本数），一般处罚按最低倍数到最高倍数这一幅度的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30%—70%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实施行政处罚（不包含本数）；</w:t>
      </w:r>
    </w:p>
    <w:p w:rsidR="00AC434A" w:rsidRDefault="00505DE6">
      <w:pPr>
        <w:pStyle w:val="a7"/>
        <w:widowControl/>
        <w:spacing w:beforeAutospacing="0" w:afterAutospacing="0" w:line="580" w:lineRule="exact"/>
        <w:ind w:firstLine="504"/>
        <w:jc w:val="both"/>
        <w:rPr>
          <w:rFonts w:ascii="Times New Roman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（二）罚款为一定幅度的数额的，减轻处罚应当低于最低罚款数额，从轻处罚按最低罚款数额到最高罚款数额这一幅度的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30%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以下确定（包含本数），从重处罚按最低罚款数额到最高罚款数额这一幅度的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70%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以上确定（包含本数），一般处罚按最低罚款数额到最高罚款数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额这一幅度的</w:t>
      </w:r>
      <w:r>
        <w:rPr>
          <w:rFonts w:ascii="Times New Roman" w:eastAsia="方正仿宋_GBK" w:hAnsi="Times New Roman"/>
          <w:b w:val="0"/>
          <w:bCs/>
          <w:sz w:val="32"/>
          <w:szCs w:val="32"/>
          <w:shd w:val="clear" w:color="auto" w:fill="FFFFFF"/>
        </w:rPr>
        <w:t>30%—70%</w:t>
      </w:r>
      <w:r>
        <w:rPr>
          <w:rFonts w:ascii="Times New Roman" w:eastAsia="方正仿宋_GBK" w:hAnsi="方正仿宋_GBK"/>
          <w:b w:val="0"/>
          <w:bCs/>
          <w:sz w:val="32"/>
          <w:szCs w:val="32"/>
          <w:shd w:val="clear" w:color="auto" w:fill="FFFFFF"/>
        </w:rPr>
        <w:t>实施行政处罚（不包含本数）；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</w:pP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（三）罚款只规定最高数额没有规定最低数额的，减轻处罚按最高罚款数额的</w:t>
      </w:r>
      <w:r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  <w:t>10%</w:t>
      </w: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以下确定（不包含本数），从轻处罚按最高罚款数额的</w:t>
      </w:r>
      <w:r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  <w:t>10%—30%</w:t>
      </w: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确定（包含本数），从重处罚按最高罚款数额的</w:t>
      </w:r>
      <w:r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  <w:t>70%</w:t>
      </w: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以上确定（包含本数），一般处罚按最高罚款数额的</w:t>
      </w:r>
      <w:r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  <w:t>30%—70%</w:t>
      </w: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实施行政处罚（不包含本数）。</w:t>
      </w:r>
    </w:p>
    <w:p w:rsidR="00AC434A" w:rsidRDefault="00505DE6">
      <w:pPr>
        <w:pStyle w:val="a3"/>
        <w:topLinePunct/>
        <w:spacing w:after="0" w:line="580" w:lineRule="exact"/>
        <w:ind w:firstLineChars="200" w:firstLine="640"/>
        <w:rPr>
          <w:rFonts w:ascii="Times New Roman" w:eastAsia="方正仿宋_GBK" w:hAnsi="Times New Roman"/>
          <w:b w:val="0"/>
          <w:bCs/>
          <w:sz w:val="32"/>
          <w:shd w:val="clear" w:color="auto" w:fill="FFFFFF"/>
        </w:rPr>
      </w:pPr>
      <w:r>
        <w:rPr>
          <w:rFonts w:ascii="Times New Roman" w:eastAsia="方正仿宋_GBK" w:hAnsi="方正仿宋_GBK"/>
          <w:b w:val="0"/>
          <w:bCs/>
          <w:sz w:val="32"/>
          <w:shd w:val="clear" w:color="auto" w:fill="FFFFFF"/>
        </w:rPr>
        <w:t>最低罚款数额（倍数）到最高罚款数额（倍数）这一幅度计算方式为：</w:t>
      </w:r>
      <w:r>
        <w:rPr>
          <w:rFonts w:ascii="Times New Roman" w:eastAsia="方正仿宋_GBK" w:hAnsi="Times New Roman"/>
          <w:b w:val="0"/>
          <w:sz w:val="32"/>
        </w:rPr>
        <w:t>Y+</w:t>
      </w:r>
      <w:r>
        <w:rPr>
          <w:rFonts w:ascii="Times New Roman" w:eastAsia="方正仿宋_GBK" w:hAnsi="Times New Roman"/>
          <w:b w:val="0"/>
          <w:sz w:val="32"/>
        </w:rPr>
        <w:t>（</w:t>
      </w:r>
      <w:r>
        <w:rPr>
          <w:rFonts w:ascii="Times New Roman" w:eastAsia="方正仿宋_GBK" w:hAnsi="Times New Roman"/>
          <w:b w:val="0"/>
          <w:sz w:val="32"/>
        </w:rPr>
        <w:t>X-Y</w:t>
      </w:r>
      <w:r>
        <w:rPr>
          <w:rFonts w:ascii="Times New Roman" w:eastAsia="方正仿宋_GBK" w:hAnsi="Times New Roman"/>
          <w:b w:val="0"/>
          <w:sz w:val="32"/>
        </w:rPr>
        <w:t>）。计算式中，</w:t>
      </w:r>
      <w:r>
        <w:rPr>
          <w:rFonts w:ascii="Times New Roman" w:eastAsia="方正仿宋_GBK" w:hAnsi="Times New Roman"/>
          <w:b w:val="0"/>
          <w:sz w:val="32"/>
        </w:rPr>
        <w:t>X</w:t>
      </w:r>
      <w:r>
        <w:rPr>
          <w:rFonts w:ascii="Times New Roman" w:eastAsia="方正仿宋_GBK" w:hAnsi="Times New Roman"/>
          <w:b w:val="0"/>
          <w:sz w:val="32"/>
        </w:rPr>
        <w:t>为法定最高处罚数额（倍数），</w:t>
      </w:r>
      <w:r>
        <w:rPr>
          <w:rFonts w:ascii="Times New Roman" w:eastAsia="方正仿宋_GBK" w:hAnsi="Times New Roman"/>
          <w:b w:val="0"/>
          <w:sz w:val="32"/>
        </w:rPr>
        <w:t>Y</w:t>
      </w:r>
      <w:r>
        <w:rPr>
          <w:rFonts w:ascii="Times New Roman" w:eastAsia="方正仿宋_GBK" w:hAnsi="Times New Roman"/>
          <w:b w:val="0"/>
          <w:sz w:val="32"/>
        </w:rPr>
        <w:t>为法定最低处罚数额（倍数）。</w:t>
      </w:r>
    </w:p>
    <w:p w:rsidR="00AC434A" w:rsidRDefault="00505DE6">
      <w:pPr>
        <w:widowControl/>
        <w:snapToGrid w:val="0"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第十五条</w:t>
      </w:r>
      <w:r>
        <w:rPr>
          <w:rFonts w:ascii="Times New Roman" w:eastAsia="仿宋" w:hAnsi="Times New Roman"/>
          <w:b w:val="0"/>
          <w:bCs/>
          <w:sz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当事人具有多种裁量情节的，按照下列规则实施行政处罚：</w:t>
      </w:r>
    </w:p>
    <w:p w:rsidR="00AC434A" w:rsidRDefault="00505DE6">
      <w:pPr>
        <w:widowControl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（一）具有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个或者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个以上从轻情节且不具有从重情节的，一般按照最低处罚幅度实施行政处罚；</w:t>
      </w:r>
    </w:p>
    <w:p w:rsidR="00AC434A" w:rsidRDefault="00505DE6">
      <w:pPr>
        <w:widowControl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lastRenderedPageBreak/>
        <w:t>（二）具有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个或者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个以上从重情节且不具有从轻或者减轻情节的，一般按照最高处罚幅度实施行政处罚；</w:t>
      </w:r>
    </w:p>
    <w:p w:rsidR="00AC434A" w:rsidRDefault="00505DE6">
      <w:pPr>
        <w:widowControl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（三）对既具有从轻或者减轻情节又具有从重情节的，应当综合衡量违法行为的事实、性质、情节、社会危害程度以及区域经济发展水平等因素，实施行政处罚。</w:t>
      </w:r>
    </w:p>
    <w:p w:rsidR="00AC434A" w:rsidRDefault="00505DE6">
      <w:pPr>
        <w:widowControl/>
        <w:snapToGrid w:val="0"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第十六条</w:t>
      </w:r>
      <w:r>
        <w:rPr>
          <w:rFonts w:ascii="Times New Roman" w:eastAsia="黑体" w:hAnsi="Times New Roman"/>
          <w:b w:val="0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同一违法行为设定了可以并处行政处罚的，按照下列规则实施行政处罚：</w:t>
      </w:r>
    </w:p>
    <w:p w:rsidR="00AC434A" w:rsidRDefault="00505DE6">
      <w:pPr>
        <w:widowControl/>
        <w:numPr>
          <w:ilvl w:val="255"/>
          <w:numId w:val="0"/>
        </w:numPr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对只具有从轻或者减轻情节的，实施单处；</w:t>
      </w:r>
    </w:p>
    <w:p w:rsidR="00AC434A" w:rsidRDefault="00505DE6">
      <w:pPr>
        <w:widowControl/>
        <w:numPr>
          <w:ilvl w:val="255"/>
          <w:numId w:val="0"/>
        </w:numPr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对只具有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从重情节的，实施并处；</w:t>
      </w:r>
    </w:p>
    <w:p w:rsidR="00AC434A" w:rsidRDefault="00505DE6">
      <w:pPr>
        <w:widowControl/>
        <w:numPr>
          <w:ilvl w:val="255"/>
          <w:numId w:val="0"/>
        </w:numPr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对既具有从轻或者减轻情节又具有从重情节的，应当综合衡量违法行为的事实、性质、情节、社会危害程度以及区域经济发展水平等因素，实施单处或者并处。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</w:rPr>
      </w:pPr>
      <w:r>
        <w:rPr>
          <w:rFonts w:ascii="Times New Roman" w:eastAsia="方正仿宋_GBK" w:hAnsi="Times New Roman"/>
          <w:bCs/>
          <w:sz w:val="32"/>
        </w:rPr>
        <w:t>第十七条</w:t>
      </w:r>
      <w:r>
        <w:rPr>
          <w:rFonts w:ascii="Times New Roman" w:eastAsia="黑体" w:hAnsi="Times New Roman"/>
          <w:b w:val="0"/>
          <w:bCs/>
          <w:sz w:val="32"/>
        </w:rPr>
        <w:t xml:space="preserve">  </w:t>
      </w:r>
      <w:r>
        <w:rPr>
          <w:rFonts w:ascii="Times New Roman" w:eastAsia="方正仿宋_GBK" w:hAnsi="Times New Roman"/>
          <w:b w:val="0"/>
          <w:sz w:val="32"/>
        </w:rPr>
        <w:t>实施行政处罚，应当同时责令当事人改正违法行为。除法律规范另有规定外，改正期限根据改正的难易程度及所需合理时间确定。</w:t>
      </w:r>
      <w:r>
        <w:rPr>
          <w:rFonts w:ascii="Times New Roman" w:eastAsia="方正仿宋_GBK" w:hAnsi="Times New Roman"/>
          <w:b w:val="0"/>
          <w:sz w:val="32"/>
        </w:rPr>
        <w:t xml:space="preserve"> </w:t>
      </w:r>
    </w:p>
    <w:p w:rsidR="00AC434A" w:rsidRDefault="00505DE6">
      <w:pPr>
        <w:pStyle w:val="a3"/>
        <w:topLinePunct/>
        <w:spacing w:after="0" w:line="580" w:lineRule="exact"/>
        <w:ind w:firstLineChars="200" w:firstLine="643"/>
        <w:rPr>
          <w:rFonts w:ascii="Times New Roman" w:eastAsia="方正仿宋_GBK" w:hAnsi="Times New Roman"/>
          <w:b w:val="0"/>
          <w:sz w:val="32"/>
        </w:rPr>
      </w:pPr>
      <w:r>
        <w:rPr>
          <w:rFonts w:ascii="Times New Roman" w:eastAsia="方正仿宋_GBK" w:hAnsi="Times New Roman"/>
          <w:bCs/>
          <w:sz w:val="32"/>
        </w:rPr>
        <w:t>第十八条</w:t>
      </w:r>
      <w:r>
        <w:rPr>
          <w:rFonts w:ascii="Times New Roman" w:eastAsia="黑体" w:hAnsi="Times New Roman"/>
          <w:b w:val="0"/>
          <w:bCs/>
          <w:sz w:val="32"/>
        </w:rPr>
        <w:t xml:space="preserve">  </w:t>
      </w:r>
      <w:r>
        <w:rPr>
          <w:rFonts w:ascii="Times New Roman" w:eastAsia="方正仿宋_GBK" w:hAnsi="Times New Roman"/>
          <w:b w:val="0"/>
          <w:sz w:val="32"/>
        </w:rPr>
        <w:t>除法律法规和规章另有规定外，责令停业整顿的期限根据违法行为的严重程度及所需合理时间确定。</w:t>
      </w:r>
    </w:p>
    <w:p w:rsidR="00AC434A" w:rsidRDefault="00505DE6">
      <w:pPr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第十九条</w:t>
      </w:r>
      <w:r>
        <w:rPr>
          <w:rFonts w:ascii="Times New Roman" w:eastAsia="黑体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城乡建设领域违法行为导致质量、安全事故，应由上级或同级住房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部门实施暂扣安全生产许可证、责令停业整顿、责令停止执业、降低资质等级、吊销资质证书、吊销执业资格证书等行政处罚的，事故发生地住房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lastRenderedPageBreak/>
        <w:t>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部门应当在事故调查报告批准后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7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个工作日内，依据法律、法规和规章，以及本规则和《裁量基准》，向上一级或同级住房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部门提出行政处罚建议，并及时移送事故调查报告、事故结案批复等证据材料。</w:t>
      </w:r>
    </w:p>
    <w:p w:rsidR="00AC434A" w:rsidRDefault="00505DE6">
      <w:pPr>
        <w:pStyle w:val="a5"/>
        <w:topLinePunct/>
        <w:spacing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第二十条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各区县住房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部门行使行政处罚裁量权时，应当充分听取当事人的陈述、申辩意见，对当事人的陈述、申辩意见是否采纳以及有关从重、从轻、减轻处罚等理由在行政执法文书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中予以说明。</w:t>
      </w:r>
    </w:p>
    <w:p w:rsidR="00AC434A" w:rsidRDefault="00505DE6">
      <w:pPr>
        <w:pStyle w:val="a5"/>
        <w:topLinePunct/>
        <w:spacing w:line="580" w:lineRule="exact"/>
        <w:ind w:firstLineChars="200" w:firstLine="643"/>
        <w:rPr>
          <w:rFonts w:ascii="Times New Roman" w:eastAsia="仿宋" w:hAnsi="Times New Roman"/>
          <w:b w:val="0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第二十一条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各区县住房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和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城乡建设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主管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部门在适用《裁量基准》时，发现适用的客观情况发生变化的，可经行政执法机构主要负责人批准或者集体讨论调整适用，批准材料或者集体讨论记录应作为执法案卷的一部分归档保存。</w:t>
      </w:r>
    </w:p>
    <w:p w:rsidR="00AC434A" w:rsidRDefault="00505DE6" w:rsidP="002B6A3E">
      <w:pPr>
        <w:pStyle w:val="a5"/>
        <w:topLinePunct/>
        <w:spacing w:line="580" w:lineRule="exact"/>
        <w:ind w:firstLineChars="200" w:firstLine="643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第二十二条</w:t>
      </w:r>
      <w:r>
        <w:rPr>
          <w:rFonts w:ascii="Times New Roman" w:eastAsia="仿宋" w:hAnsi="Times New Roman"/>
          <w:b w:val="0"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本规则自</w:t>
      </w:r>
      <w:r w:rsidR="002B6A3E"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印发之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日起施行。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2011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10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日重庆市城乡建设委员会关于印发《重庆市城乡建设行政处罚裁量基准（试行）》的通知（渝建发〔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2011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〕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83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hint="eastAsia"/>
          <w:b w:val="0"/>
          <w:kern w:val="0"/>
          <w:sz w:val="32"/>
          <w:szCs w:val="32"/>
        </w:rPr>
        <w:t>同时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废止。</w:t>
      </w:r>
    </w:p>
    <w:p w:rsidR="00AC434A" w:rsidRDefault="00AC434A">
      <w:pPr>
        <w:spacing w:line="570" w:lineRule="exact"/>
        <w:rPr>
          <w:rFonts w:ascii="Times New Roman" w:hAnsi="Times New Roman"/>
        </w:rPr>
      </w:pPr>
      <w:bookmarkStart w:id="0" w:name="_GoBack"/>
      <w:bookmarkEnd w:id="0"/>
    </w:p>
    <w:sectPr w:rsidR="00AC434A" w:rsidSect="00AC434A">
      <w:footerReference w:type="even" r:id="rId7"/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E6" w:rsidRDefault="00505DE6" w:rsidP="00AC434A">
      <w:r>
        <w:separator/>
      </w:r>
    </w:p>
  </w:endnote>
  <w:endnote w:type="continuationSeparator" w:id="0">
    <w:p w:rsidR="00505DE6" w:rsidRDefault="00505DE6" w:rsidP="00AC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4A" w:rsidRDefault="00AC434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 filled="f" stroked="f">
          <v:textbox style="mso-fit-shape-to-text:t" inset="0,0,0,0">
            <w:txbxContent>
              <w:sdt>
                <w:sdtPr>
                  <w:rPr>
                    <w:rStyle w:val="a9"/>
                  </w:rPr>
                  <w:id w:val="1160736403"/>
                </w:sdtPr>
                <w:sdtContent>
                  <w:p w:rsidR="00AC434A" w:rsidRDefault="00AC434A">
                    <w:pPr>
                      <w:pStyle w:val="a5"/>
                      <w:rPr>
                        <w:rStyle w:val="a9"/>
                      </w:rPr>
                    </w:pP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505DE6"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</w:instrText>
                    </w:r>
                    <w:r w:rsidR="002B6A3E">
                      <w:rPr>
                        <w:rStyle w:val="a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2B6A3E">
                      <w:rPr>
                        <w:rStyle w:val="a9"/>
                        <w:rFonts w:ascii="宋体" w:hAnsi="宋体" w:cs="宋体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4A" w:rsidRDefault="00AC434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sdt>
                <w:sdtPr>
                  <w:rPr>
                    <w:rStyle w:val="a9"/>
                    <w:rFonts w:ascii="宋体" w:hAnsi="宋体"/>
                    <w:b w:val="0"/>
                    <w:sz w:val="28"/>
                    <w:szCs w:val="28"/>
                  </w:rPr>
                  <w:id w:val="-1862275582"/>
                </w:sdtPr>
                <w:sdtContent>
                  <w:p w:rsidR="00AC434A" w:rsidRDefault="00AC434A">
                    <w:pPr>
                      <w:pStyle w:val="a5"/>
                      <w:rPr>
                        <w:rStyle w:val="a9"/>
                        <w:rFonts w:ascii="宋体" w:hAnsi="宋体"/>
                        <w:b w:val="0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hAnsi="宋体"/>
                        <w:b w:val="0"/>
                        <w:sz w:val="28"/>
                        <w:szCs w:val="28"/>
                      </w:rPr>
                      <w:fldChar w:fldCharType="begin"/>
                    </w:r>
                    <w:r w:rsidR="00505DE6">
                      <w:rPr>
                        <w:rStyle w:val="a9"/>
                        <w:rFonts w:ascii="宋体" w:hAnsi="宋体"/>
                        <w:b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宋体" w:hAnsi="宋体"/>
                        <w:b w:val="0"/>
                        <w:sz w:val="28"/>
                        <w:szCs w:val="28"/>
                      </w:rPr>
                      <w:fldChar w:fldCharType="separate"/>
                    </w:r>
                    <w:r w:rsidR="002B6A3E">
                      <w:rPr>
                        <w:rStyle w:val="a9"/>
                        <w:rFonts w:ascii="宋体" w:hAnsi="宋体"/>
                        <w:b w:val="0"/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a9"/>
                        <w:rFonts w:ascii="宋体" w:hAnsi="宋体"/>
                        <w:b w:val="0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E6" w:rsidRDefault="00505DE6" w:rsidP="00AC434A">
      <w:r>
        <w:separator/>
      </w:r>
    </w:p>
  </w:footnote>
  <w:footnote w:type="continuationSeparator" w:id="0">
    <w:p w:rsidR="00505DE6" w:rsidRDefault="00505DE6" w:rsidP="00AC4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1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Y5ZDhhZjkzNzRkOTgxZDk3NDIyY2FiYWQzMTRjNzYifQ=="/>
  </w:docVars>
  <w:rsids>
    <w:rsidRoot w:val="00172A27"/>
    <w:rsid w:val="BAAE4268"/>
    <w:rsid w:val="FDFECA27"/>
    <w:rsid w:val="FEF3AB5E"/>
    <w:rsid w:val="FFFD389D"/>
    <w:rsid w:val="00036004"/>
    <w:rsid w:val="0006101B"/>
    <w:rsid w:val="00072DA3"/>
    <w:rsid w:val="00126DB7"/>
    <w:rsid w:val="00172A27"/>
    <w:rsid w:val="00267B46"/>
    <w:rsid w:val="00297F85"/>
    <w:rsid w:val="002B6A3E"/>
    <w:rsid w:val="00313E7B"/>
    <w:rsid w:val="00314680"/>
    <w:rsid w:val="003527F8"/>
    <w:rsid w:val="00385BAE"/>
    <w:rsid w:val="003B7883"/>
    <w:rsid w:val="004B5DE8"/>
    <w:rsid w:val="00505DE6"/>
    <w:rsid w:val="00535B4A"/>
    <w:rsid w:val="00546F34"/>
    <w:rsid w:val="005802F8"/>
    <w:rsid w:val="005B300D"/>
    <w:rsid w:val="005E4302"/>
    <w:rsid w:val="00623BE7"/>
    <w:rsid w:val="006C7F27"/>
    <w:rsid w:val="00752ED8"/>
    <w:rsid w:val="007E7B2C"/>
    <w:rsid w:val="008B4AB9"/>
    <w:rsid w:val="008F1D4D"/>
    <w:rsid w:val="0099613E"/>
    <w:rsid w:val="009B7725"/>
    <w:rsid w:val="00A05F05"/>
    <w:rsid w:val="00A338AA"/>
    <w:rsid w:val="00AC434A"/>
    <w:rsid w:val="00BE3BB0"/>
    <w:rsid w:val="00C61067"/>
    <w:rsid w:val="00D45601"/>
    <w:rsid w:val="00D558FD"/>
    <w:rsid w:val="00F3786B"/>
    <w:rsid w:val="00FC3653"/>
    <w:rsid w:val="03050E7D"/>
    <w:rsid w:val="03795BCB"/>
    <w:rsid w:val="03DF4F55"/>
    <w:rsid w:val="04ED064B"/>
    <w:rsid w:val="074C4709"/>
    <w:rsid w:val="07F874F1"/>
    <w:rsid w:val="093E76C7"/>
    <w:rsid w:val="09AA6B0A"/>
    <w:rsid w:val="0D86163D"/>
    <w:rsid w:val="0E0A5DCA"/>
    <w:rsid w:val="12280F14"/>
    <w:rsid w:val="14F96B98"/>
    <w:rsid w:val="15826B8D"/>
    <w:rsid w:val="15D472B6"/>
    <w:rsid w:val="16157A01"/>
    <w:rsid w:val="17282F23"/>
    <w:rsid w:val="17292D15"/>
    <w:rsid w:val="174C7453"/>
    <w:rsid w:val="19F3005A"/>
    <w:rsid w:val="1B102ECB"/>
    <w:rsid w:val="1B4548E5"/>
    <w:rsid w:val="1D435453"/>
    <w:rsid w:val="1D473433"/>
    <w:rsid w:val="1DA13929"/>
    <w:rsid w:val="1F811C64"/>
    <w:rsid w:val="201E4A37"/>
    <w:rsid w:val="2188552B"/>
    <w:rsid w:val="259721E1"/>
    <w:rsid w:val="273D0B66"/>
    <w:rsid w:val="283A1261"/>
    <w:rsid w:val="285A5748"/>
    <w:rsid w:val="28A24083"/>
    <w:rsid w:val="28C72DDD"/>
    <w:rsid w:val="2C1C51EE"/>
    <w:rsid w:val="2D4744ED"/>
    <w:rsid w:val="2E70537D"/>
    <w:rsid w:val="2FD302BA"/>
    <w:rsid w:val="32B1065A"/>
    <w:rsid w:val="32D06D32"/>
    <w:rsid w:val="33AB32FB"/>
    <w:rsid w:val="347A51A8"/>
    <w:rsid w:val="35B00755"/>
    <w:rsid w:val="37060F75"/>
    <w:rsid w:val="37EA6547"/>
    <w:rsid w:val="384A5D4C"/>
    <w:rsid w:val="39225E0E"/>
    <w:rsid w:val="396C52DB"/>
    <w:rsid w:val="39F72DF7"/>
    <w:rsid w:val="3AB24F6F"/>
    <w:rsid w:val="3BE61375"/>
    <w:rsid w:val="3C4542ED"/>
    <w:rsid w:val="3EE71288"/>
    <w:rsid w:val="3FBF43B6"/>
    <w:rsid w:val="3FF34060"/>
    <w:rsid w:val="419C000C"/>
    <w:rsid w:val="42354913"/>
    <w:rsid w:val="42413FC2"/>
    <w:rsid w:val="42A258CA"/>
    <w:rsid w:val="467D0B27"/>
    <w:rsid w:val="481E59F2"/>
    <w:rsid w:val="4A5B6AB0"/>
    <w:rsid w:val="4AD11442"/>
    <w:rsid w:val="4AF62C56"/>
    <w:rsid w:val="4E667301"/>
    <w:rsid w:val="4E916F1E"/>
    <w:rsid w:val="4F930420"/>
    <w:rsid w:val="4FEC0939"/>
    <w:rsid w:val="5304119F"/>
    <w:rsid w:val="53CB1124"/>
    <w:rsid w:val="541D3002"/>
    <w:rsid w:val="55A1719F"/>
    <w:rsid w:val="565E627F"/>
    <w:rsid w:val="566B39B4"/>
    <w:rsid w:val="585D2567"/>
    <w:rsid w:val="5AA31B8E"/>
    <w:rsid w:val="5AEBC176"/>
    <w:rsid w:val="5C504282"/>
    <w:rsid w:val="5FB92779"/>
    <w:rsid w:val="604037B3"/>
    <w:rsid w:val="606E3563"/>
    <w:rsid w:val="60C70188"/>
    <w:rsid w:val="629B43B7"/>
    <w:rsid w:val="67E934CF"/>
    <w:rsid w:val="6A721EA2"/>
    <w:rsid w:val="6A9E0D6A"/>
    <w:rsid w:val="6ADB19B0"/>
    <w:rsid w:val="6BDC6B0A"/>
    <w:rsid w:val="6DFF1C9E"/>
    <w:rsid w:val="6F1654F2"/>
    <w:rsid w:val="718524BB"/>
    <w:rsid w:val="71F15DA2"/>
    <w:rsid w:val="71F84FF4"/>
    <w:rsid w:val="721A7BE1"/>
    <w:rsid w:val="73504D4A"/>
    <w:rsid w:val="738F53A8"/>
    <w:rsid w:val="73BB4672"/>
    <w:rsid w:val="75DD53F5"/>
    <w:rsid w:val="76677B1C"/>
    <w:rsid w:val="76BA0E58"/>
    <w:rsid w:val="770C1EED"/>
    <w:rsid w:val="771D13E7"/>
    <w:rsid w:val="78C7160B"/>
    <w:rsid w:val="791D6E99"/>
    <w:rsid w:val="7A5769BE"/>
    <w:rsid w:val="7B79513D"/>
    <w:rsid w:val="7C574A54"/>
    <w:rsid w:val="7D1F18BA"/>
    <w:rsid w:val="7E1D3A7B"/>
    <w:rsid w:val="7E9D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4A"/>
    <w:pPr>
      <w:widowControl w:val="0"/>
      <w:jc w:val="both"/>
    </w:pPr>
    <w:rPr>
      <w:rFonts w:ascii="Calibri" w:hAnsi="Calibri"/>
      <w:b/>
      <w:kern w:val="44"/>
      <w:sz w:val="21"/>
      <w:szCs w:val="24"/>
    </w:rPr>
  </w:style>
  <w:style w:type="paragraph" w:styleId="1">
    <w:name w:val="heading 1"/>
    <w:basedOn w:val="a"/>
    <w:next w:val="a"/>
    <w:qFormat/>
    <w:rsid w:val="00AC434A"/>
    <w:pPr>
      <w:keepNext/>
      <w:keepLines/>
      <w:spacing w:line="576" w:lineRule="auto"/>
      <w:outlineLvl w:val="0"/>
    </w:pPr>
    <w:rPr>
      <w:b w:val="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C434A"/>
    <w:pPr>
      <w:spacing w:after="120"/>
    </w:pPr>
    <w:rPr>
      <w:kern w:val="0"/>
      <w:sz w:val="20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AC434A"/>
    <w:rPr>
      <w:sz w:val="18"/>
      <w:szCs w:val="18"/>
    </w:rPr>
  </w:style>
  <w:style w:type="paragraph" w:styleId="a5">
    <w:name w:val="footer"/>
    <w:basedOn w:val="a"/>
    <w:link w:val="Char1"/>
    <w:qFormat/>
    <w:rsid w:val="00AC43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semiHidden/>
    <w:unhideWhenUsed/>
    <w:rsid w:val="00AC4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C434A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AC434A"/>
    <w:rPr>
      <w:b/>
    </w:rPr>
  </w:style>
  <w:style w:type="character" w:styleId="a9">
    <w:name w:val="page number"/>
    <w:basedOn w:val="a0"/>
    <w:uiPriority w:val="99"/>
    <w:semiHidden/>
    <w:unhideWhenUsed/>
    <w:qFormat/>
    <w:rsid w:val="00AC434A"/>
  </w:style>
  <w:style w:type="character" w:customStyle="1" w:styleId="Char1">
    <w:name w:val="页脚 Char"/>
    <w:basedOn w:val="a0"/>
    <w:link w:val="a5"/>
    <w:qFormat/>
    <w:rsid w:val="00AC434A"/>
    <w:rPr>
      <w:rFonts w:ascii="Calibri" w:eastAsia="宋体" w:hAnsi="Calibri" w:cs="Times New Roman"/>
      <w:b/>
      <w:kern w:val="44"/>
      <w:sz w:val="18"/>
    </w:rPr>
  </w:style>
  <w:style w:type="character" w:customStyle="1" w:styleId="Char">
    <w:name w:val="正文文本 Char"/>
    <w:basedOn w:val="a0"/>
    <w:link w:val="a3"/>
    <w:qFormat/>
    <w:rsid w:val="00AC434A"/>
    <w:rPr>
      <w:rFonts w:ascii="Calibri" w:eastAsia="宋体" w:hAnsi="Calibri" w:cs="Times New Roman"/>
      <w:b/>
      <w:kern w:val="0"/>
      <w:sz w:val="20"/>
      <w:szCs w:val="32"/>
    </w:rPr>
  </w:style>
  <w:style w:type="character" w:customStyle="1" w:styleId="Char2">
    <w:name w:val="页眉 Char"/>
    <w:basedOn w:val="a0"/>
    <w:link w:val="a6"/>
    <w:uiPriority w:val="99"/>
    <w:semiHidden/>
    <w:rsid w:val="00AC434A"/>
    <w:rPr>
      <w:rFonts w:ascii="Calibri" w:hAnsi="Calibri"/>
      <w:b/>
      <w:kern w:val="44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C434A"/>
    <w:rPr>
      <w:rFonts w:ascii="Calibri" w:hAnsi="Calibri"/>
      <w:b/>
      <w:kern w:val="4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550</Words>
  <Characters>3141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立群 马</dc:creator>
  <cp:lastModifiedBy>HP</cp:lastModifiedBy>
  <cp:revision>5</cp:revision>
  <cp:lastPrinted>2023-07-03T06:58:00Z</cp:lastPrinted>
  <dcterms:created xsi:type="dcterms:W3CDTF">2023-07-28T06:16:00Z</dcterms:created>
  <dcterms:modified xsi:type="dcterms:W3CDTF">2023-08-04T03:51:00Z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6D63DD4F59EA4504B65A73CE1D401434</vt:lpwstr>
  </property>
</Properties>
</file>