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核准的建设工程质量检测机构名单</w:t>
      </w:r>
    </w:p>
    <w:p>
      <w:pPr>
        <w:widowControl/>
        <w:jc w:val="left"/>
        <w:rPr>
          <w:rFonts w:ascii="方正仿宋_GBK" w:hAnsi="等线" w:eastAsia="方正仿宋_GBK"/>
          <w:sz w:val="32"/>
          <w:szCs w:val="32"/>
        </w:rPr>
      </w:pPr>
    </w:p>
    <w:tbl>
      <w:tblPr>
        <w:tblStyle w:val="3"/>
        <w:tblW w:w="14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26"/>
        <w:gridCol w:w="4394"/>
        <w:gridCol w:w="1418"/>
        <w:gridCol w:w="2409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Cs w:val="21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2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重庆大有工程设计研究院有限公司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万州区北山大道</w:t>
            </w:r>
            <w:r>
              <w:rPr>
                <w:rFonts w:hint="default" w:ascii="Times New Roman" w:hAnsi="Times New Roman" w:eastAsia="方正仿宋_GBK" w:cs="Times New Roman"/>
              </w:rPr>
              <w:t>1417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7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748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506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重庆永渝检验检测技术有限公司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重庆市南岸区米兰路</w:t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9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1051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766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重庆交大建设工程质量检测中心有限公司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重庆市南岸区学府大道</w:t>
            </w:r>
            <w:r>
              <w:rPr>
                <w:rFonts w:hint="default" w:ascii="Times New Roman" w:hAnsi="Times New Roman" w:eastAsia="方正仿宋_GBK" w:cs="Times New Roman"/>
              </w:rPr>
              <w:t>66</w:t>
            </w:r>
            <w:r>
              <w:rPr>
                <w:rFonts w:hint="eastAsia" w:ascii="方正仿宋_GBK" w:eastAsia="方正仿宋_GBK"/>
              </w:rPr>
              <w:t>号重庆交通大学第一教学楼一楼东区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9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896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611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重庆中研检验检测认证有限公司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重庆市北碚区施家梁镇嘉德大道</w:t>
            </w:r>
            <w:r>
              <w:rPr>
                <w:rFonts w:hint="default" w:ascii="Times New Roman" w:hAnsi="Times New Roman" w:eastAsia="方正仿宋_GBK" w:cs="Times New Roman"/>
              </w:rPr>
              <w:t>101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25</w:t>
            </w:r>
            <w:r>
              <w:rPr>
                <w:rFonts w:hint="eastAsia" w:ascii="方正仿宋_GBK" w:eastAsia="方正仿宋_GBK"/>
              </w:rPr>
              <w:t>幢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7</w:t>
            </w:r>
            <w:r>
              <w:rPr>
                <w:rFonts w:hint="eastAsia" w:ascii="方正仿宋_GBK" w:eastAsia="方正仿宋_GBK"/>
                <w:bCs/>
                <w:szCs w:val="21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823</w:t>
            </w:r>
            <w:r>
              <w:rPr>
                <w:rFonts w:hint="eastAsia" w:ascii="方正仿宋_GBK" w:eastAsia="方正仿宋_GBK"/>
                <w:bCs/>
                <w:szCs w:val="21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581</w:t>
            </w:r>
            <w:r>
              <w:rPr>
                <w:rFonts w:hint="eastAsia" w:ascii="方正仿宋_GBK" w:eastAsia="方正仿宋_GBK"/>
                <w:bCs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巫山县巫峡工程检测有限公司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巫山县高唐街道高唐街</w:t>
            </w:r>
            <w:r>
              <w:rPr>
                <w:rFonts w:hint="default" w:ascii="Times New Roman" w:hAnsi="Times New Roman" w:eastAsia="方正仿宋_GBK" w:cs="Times New Roman"/>
              </w:rPr>
              <w:t>12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114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重庆路泰建筑工程质量检测有限公司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重庆市渝北区玉峰山镇石港大道</w:t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幢厂房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层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6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578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342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重庆市江津区建设工程质量检测中心有限公司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重庆市江津区鼎山街道宝鼎路</w:t>
            </w:r>
            <w:r>
              <w:rPr>
                <w:rFonts w:hint="default" w:ascii="Times New Roman" w:hAnsi="Times New Roman" w:eastAsia="方正仿宋_GBK" w:cs="Times New Roman"/>
              </w:rPr>
              <w:t>35</w:t>
            </w:r>
            <w:r>
              <w:rPr>
                <w:rFonts w:hint="eastAsia" w:ascii="方正仿宋_GBK" w:eastAsia="方正仿宋_GBK"/>
              </w:rPr>
              <w:t>号（锦绣华城S</w:t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-G</w:t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幢吊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）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同意该机构申请申请的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5</w:t>
            </w:r>
            <w:r>
              <w:rPr>
                <w:rFonts w:hint="eastAsia" w:ascii="方正仿宋_GBK" w:eastAsia="方正仿宋_GBK"/>
                <w:bCs/>
                <w:szCs w:val="21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280</w:t>
            </w:r>
            <w:r>
              <w:rPr>
                <w:rFonts w:hint="eastAsia" w:ascii="方正仿宋_GBK" w:eastAsia="方正仿宋_GBK"/>
                <w:bCs/>
                <w:szCs w:val="21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181</w:t>
            </w:r>
            <w:r>
              <w:rPr>
                <w:rFonts w:hint="eastAsia" w:ascii="方正仿宋_GBK" w:eastAsia="方正仿宋_GBK"/>
                <w:bCs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8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重庆云臻建设工程质量检测有限公司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重庆市江北区复盛镇福生大道</w:t>
            </w:r>
            <w:r>
              <w:rPr>
                <w:rFonts w:hint="default" w:ascii="Times New Roman" w:hAnsi="Times New Roman" w:eastAsia="方正仿宋_GBK" w:cs="Times New Roman"/>
              </w:rPr>
              <w:t>228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幢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282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177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9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重庆中宇建设工程质量检测有限公司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重庆市高新区白市驿镇海龙村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135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10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重庆致诚建筑工程检测有限公司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渝北区宝环东路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6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464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339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11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中冶检测认证（重庆）有限公司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重庆市九龙坡区石坪桥冶金路</w:t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</w:rPr>
              <w:t>24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7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745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503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12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重庆固维工程技术有限公司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重庆市江津区双福街道建设街</w:t>
            </w:r>
            <w:r>
              <w:rPr>
                <w:rFonts w:hint="default" w:ascii="Times New Roman" w:hAnsi="Times New Roman" w:eastAsia="方正仿宋_GBK" w:cs="Times New Roman"/>
              </w:rPr>
              <w:t>71</w:t>
            </w:r>
            <w:r>
              <w:rPr>
                <w:rFonts w:hint="eastAsia" w:ascii="方正仿宋_GBK" w:eastAsia="方正仿宋_GBK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同意该机构申请的同意</w:t>
            </w: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273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183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tblHeader/>
          <w:jc w:val="center"/>
        </w:trPr>
        <w:tc>
          <w:tcPr>
            <w:tcW w:w="8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13</w:t>
            </w:r>
          </w:p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重庆两江新区云奥工程质量检测有限公司</w:t>
            </w:r>
          </w:p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重庆市合川区南津街办事处白鹤街</w:t>
            </w:r>
            <w:r>
              <w:rPr>
                <w:rFonts w:hint="default" w:ascii="Times New Roman" w:hAnsi="Times New Roman" w:eastAsia="方正仿宋_GBK" w:cs="Times New Roman"/>
              </w:rPr>
              <w:t>43</w:t>
            </w:r>
            <w:r>
              <w:rPr>
                <w:rFonts w:hint="eastAsia" w:ascii="方正仿宋_GBK" w:eastAsia="方正仿宋_GBK"/>
              </w:rPr>
              <w:t>、</w:t>
            </w:r>
            <w:r>
              <w:rPr>
                <w:rFonts w:hint="default" w:ascii="Times New Roman" w:hAnsi="Times New Roman" w:eastAsia="方正仿宋_GBK" w:cs="Times New Roman"/>
              </w:rPr>
              <w:t>45</w:t>
            </w:r>
            <w:r>
              <w:rPr>
                <w:rFonts w:hint="eastAsia" w:ascii="方正仿宋_GBK" w:eastAsia="方正仿宋_GBK"/>
              </w:rPr>
              <w:t>号门市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245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166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85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重庆市两江新区云柏路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737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504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6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14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丰都县建设工程质量检测有限公司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重庆市丰都县名山街道白沙沱村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组</w:t>
            </w:r>
            <w:r>
              <w:rPr>
                <w:rFonts w:hint="default" w:ascii="Times New Roman" w:hAnsi="Times New Roman" w:eastAsia="方正仿宋_GBK" w:cs="Times New Roman"/>
              </w:rPr>
              <w:t>79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5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389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162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4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15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重庆中铁建筑工程质量检测有限公司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重庆市沙坪坝区新桥新村</w:t>
            </w:r>
            <w:r>
              <w:rPr>
                <w:rFonts w:hint="default" w:ascii="Times New Roman" w:hAnsi="Times New Roman" w:eastAsia="方正仿宋_GBK" w:cs="Times New Roman"/>
              </w:rPr>
              <w:t>71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209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124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16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重庆渝胜工程质量检测有限公司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重庆市高新区金凤镇凤笙路</w:t>
            </w:r>
            <w:r>
              <w:rPr>
                <w:rFonts w:hint="default" w:ascii="Times New Roman" w:hAnsi="Times New Roman" w:eastAsia="方正仿宋_GBK" w:cs="Times New Roman"/>
              </w:rPr>
              <w:t>23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号厂房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.建筑节能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同意该机构申请的同意</w:t>
            </w: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466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358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tblHeader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17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重庆守规检测技术有限公司</w:t>
            </w:r>
          </w:p>
        </w:tc>
        <w:tc>
          <w:tcPr>
            <w:tcW w:w="4394" w:type="dxa"/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eastAsia="方正仿宋_GBK"/>
              </w:rPr>
              <w:t>凤笙路</w:t>
            </w:r>
            <w:r>
              <w:rPr>
                <w:rFonts w:hint="default" w:ascii="Times New Roman" w:hAnsi="Times New Roman" w:eastAsia="方正仿宋_GBK" w:cs="Times New Roman"/>
              </w:rPr>
              <w:t>21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幢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同意该机构申请的</w:t>
            </w:r>
            <w:r>
              <w:rPr>
                <w:rFonts w:hint="default" w:ascii="Times New Roman" w:hAnsi="Times New Roman" w:cs="Times New Roman"/>
                <w:szCs w:val="21"/>
              </w:rPr>
              <w:t>6</w:t>
            </w:r>
            <w:r>
              <w:rPr>
                <w:rFonts w:hint="eastAsia" w:ascii="方正仿宋_GBK" w:eastAsia="方正仿宋_GBK"/>
                <w:szCs w:val="21"/>
              </w:rPr>
              <w:t>个专项</w:t>
            </w:r>
            <w:r>
              <w:rPr>
                <w:rFonts w:hint="default" w:ascii="Times New Roman" w:hAnsi="Times New Roman" w:cs="Times New Roman"/>
                <w:szCs w:val="21"/>
              </w:rPr>
              <w:t>804</w:t>
            </w:r>
            <w:r>
              <w:rPr>
                <w:rFonts w:hint="eastAsia" w:ascii="方正仿宋_GBK" w:eastAsia="方正仿宋_GBK"/>
                <w:szCs w:val="21"/>
              </w:rPr>
              <w:t>个参数（其中可选参数</w:t>
            </w:r>
            <w:r>
              <w:rPr>
                <w:rFonts w:hint="default" w:ascii="Times New Roman" w:hAnsi="Times New Roman" w:cs="Times New Roman"/>
                <w:szCs w:val="21"/>
              </w:rPr>
              <w:t>571</w:t>
            </w:r>
            <w:r>
              <w:rPr>
                <w:rFonts w:hint="eastAsia" w:ascii="方正仿宋_GBK" w:eastAsia="方正仿宋_GBK"/>
                <w:szCs w:val="21"/>
              </w:rPr>
              <w:t>个）。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33FA7"/>
    <w:rsid w:val="15F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2025-09-16T07:38:00Z</dcterms:created>
  <dc:creator>wx</dc:creator>
  <cp:lastModifiedBy>wx</cp:lastModifiedBy>
  <dcterms:modified xsi:type="dcterms:W3CDTF">2025-09-16T07:39:28Z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00E5880D511E464DB99AFD51F40DA778</vt:lpwstr>
  </property>
</Properties>
</file>