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7623F">
      <w:pPr>
        <w:spacing w:line="440" w:lineRule="exact"/>
        <w:ind w:firstLine="0" w:firstLine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</w:p>
    <w:p w14:paraId="2134B22F">
      <w:pPr>
        <w:spacing w:line="440" w:lineRule="exact"/>
        <w:ind w:firstLine="88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年重庆市装配式建筑预评价公示名单</w:t>
      </w:r>
    </w:p>
    <w:tbl>
      <w:tblPr>
        <w:tblStyle w:val="5"/>
        <w:tblpPr w:leftFromText="180" w:rightFromText="180" w:vertAnchor="text" w:horzAnchor="margin" w:tblpXSpec="center" w:tblpY="226"/>
        <w:tblOverlap w:val="never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423"/>
        <w:gridCol w:w="1621"/>
        <w:gridCol w:w="1578"/>
        <w:gridCol w:w="1578"/>
        <w:gridCol w:w="1102"/>
        <w:gridCol w:w="2703"/>
        <w:gridCol w:w="1318"/>
        <w:gridCol w:w="1055"/>
      </w:tblGrid>
      <w:tr w14:paraId="43163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7" w:type="pct"/>
            <w:noWrap w:val="0"/>
            <w:vAlign w:val="center"/>
          </w:tcPr>
          <w:p w14:paraId="78E26B2A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55" w:type="pct"/>
            <w:noWrap w:val="0"/>
            <w:vAlign w:val="center"/>
          </w:tcPr>
          <w:p w14:paraId="54E7E720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72" w:type="pct"/>
            <w:noWrap w:val="0"/>
            <w:vAlign w:val="center"/>
          </w:tcPr>
          <w:p w14:paraId="4481E278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装配式</w:t>
            </w:r>
          </w:p>
          <w:p w14:paraId="41598E95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建筑楼栋</w:t>
            </w:r>
          </w:p>
        </w:tc>
        <w:tc>
          <w:tcPr>
            <w:tcW w:w="557" w:type="pct"/>
            <w:noWrap w:val="0"/>
            <w:vAlign w:val="center"/>
          </w:tcPr>
          <w:p w14:paraId="1F099EAF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装配式</w:t>
            </w:r>
          </w:p>
          <w:p w14:paraId="3377F3DD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建筑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面积（万㎡）</w:t>
            </w:r>
          </w:p>
        </w:tc>
        <w:tc>
          <w:tcPr>
            <w:tcW w:w="557" w:type="pct"/>
            <w:tcBorders>
              <w:right w:val="single" w:color="auto" w:sz="4" w:space="0"/>
            </w:tcBorders>
            <w:noWrap w:val="0"/>
            <w:vAlign w:val="center"/>
          </w:tcPr>
          <w:p w14:paraId="31C76F25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装配率</w:t>
            </w:r>
          </w:p>
        </w:tc>
        <w:tc>
          <w:tcPr>
            <w:tcW w:w="389" w:type="pct"/>
            <w:tcBorders>
              <w:right w:val="single" w:color="auto" w:sz="4" w:space="0"/>
            </w:tcBorders>
            <w:noWrap w:val="0"/>
            <w:vAlign w:val="center"/>
          </w:tcPr>
          <w:p w14:paraId="61357877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建筑</w:t>
            </w:r>
          </w:p>
          <w:p w14:paraId="7BEA918A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954" w:type="pct"/>
            <w:noWrap w:val="0"/>
            <w:vAlign w:val="center"/>
          </w:tcPr>
          <w:p w14:paraId="7C5BA396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建设</w:t>
            </w:r>
            <w:r>
              <w:rPr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65" w:type="pct"/>
            <w:noWrap w:val="0"/>
            <w:vAlign w:val="center"/>
          </w:tcPr>
          <w:p w14:paraId="7444BFD4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项目所在地</w:t>
            </w:r>
          </w:p>
        </w:tc>
        <w:tc>
          <w:tcPr>
            <w:tcW w:w="372" w:type="pct"/>
            <w:noWrap w:val="0"/>
            <w:vAlign w:val="center"/>
          </w:tcPr>
          <w:p w14:paraId="731F173A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评价</w:t>
            </w:r>
            <w:r>
              <w:rPr>
                <w:b/>
                <w:bCs/>
                <w:color w:val="000000"/>
                <w:sz w:val="28"/>
                <w:szCs w:val="28"/>
              </w:rPr>
              <w:t>阶段</w:t>
            </w:r>
          </w:p>
        </w:tc>
      </w:tr>
      <w:tr w14:paraId="19666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77" w:type="pct"/>
            <w:noWrap w:val="0"/>
            <w:vAlign w:val="center"/>
          </w:tcPr>
          <w:p w14:paraId="3D103B86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pct"/>
            <w:noWrap w:val="0"/>
            <w:vAlign w:val="center"/>
          </w:tcPr>
          <w:p w14:paraId="56052F35">
            <w:pPr>
              <w:spacing w:line="360" w:lineRule="exact"/>
              <w:ind w:firstLine="0" w:firstLineChars="0"/>
              <w:jc w:val="left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保利两江新区悦来组团C分区C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地块项目</w:t>
            </w:r>
          </w:p>
        </w:tc>
        <w:tc>
          <w:tcPr>
            <w:tcW w:w="572" w:type="pct"/>
            <w:noWrap w:val="0"/>
            <w:vAlign w:val="center"/>
          </w:tcPr>
          <w:p w14:paraId="0B705B6B">
            <w:pPr>
              <w:spacing w:line="360" w:lineRule="exact"/>
              <w:ind w:firstLine="0" w:firstLineChars="0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bCs/>
                <w:color w:val="00000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#楼</w:t>
            </w:r>
          </w:p>
        </w:tc>
        <w:tc>
          <w:tcPr>
            <w:tcW w:w="557" w:type="pct"/>
            <w:noWrap w:val="0"/>
            <w:vAlign w:val="center"/>
          </w:tcPr>
          <w:p w14:paraId="3FBFF904">
            <w:pPr>
              <w:spacing w:line="360" w:lineRule="exact"/>
              <w:ind w:firstLine="0" w:firstLineChars="0"/>
              <w:jc w:val="center"/>
              <w:rPr>
                <w:rFonts w:hint="default" w:eastAsia="方正仿宋_GBK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bCs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557" w:type="pct"/>
            <w:tcBorders>
              <w:right w:val="single" w:color="auto" w:sz="4" w:space="0"/>
            </w:tcBorders>
            <w:noWrap w:val="0"/>
            <w:vAlign w:val="center"/>
          </w:tcPr>
          <w:p w14:paraId="3E62DE77">
            <w:pPr>
              <w:snapToGrid w:val="0"/>
              <w:spacing w:line="360" w:lineRule="exact"/>
              <w:ind w:firstLine="0" w:firstLineChars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≥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  <w:r>
              <w:rPr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389" w:type="pct"/>
            <w:tcBorders>
              <w:right w:val="single" w:color="auto" w:sz="4" w:space="0"/>
            </w:tcBorders>
            <w:noWrap w:val="0"/>
            <w:vAlign w:val="center"/>
          </w:tcPr>
          <w:p w14:paraId="57E2D052">
            <w:pPr>
              <w:spacing w:line="360" w:lineRule="exact"/>
              <w:ind w:firstLine="0" w:firstLineChars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居住建筑</w:t>
            </w:r>
          </w:p>
        </w:tc>
        <w:tc>
          <w:tcPr>
            <w:tcW w:w="954" w:type="pct"/>
            <w:noWrap w:val="0"/>
            <w:vAlign w:val="center"/>
          </w:tcPr>
          <w:p w14:paraId="50E872AC">
            <w:pPr>
              <w:spacing w:line="360" w:lineRule="exact"/>
              <w:ind w:firstLine="0" w:firstLineChars="0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保利（重庆）投资实业有限公司</w:t>
            </w:r>
          </w:p>
        </w:tc>
        <w:tc>
          <w:tcPr>
            <w:tcW w:w="465" w:type="pct"/>
            <w:noWrap w:val="0"/>
            <w:vAlign w:val="center"/>
          </w:tcPr>
          <w:p w14:paraId="5240727F">
            <w:pPr>
              <w:spacing w:line="360" w:lineRule="exact"/>
              <w:ind w:firstLine="0" w:firstLineChars="0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  <w:lang w:val="en-US" w:eastAsia="zh-CN"/>
              </w:rPr>
              <w:t>两江新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区</w:t>
            </w:r>
          </w:p>
        </w:tc>
        <w:tc>
          <w:tcPr>
            <w:tcW w:w="372" w:type="pct"/>
            <w:noWrap w:val="0"/>
            <w:vAlign w:val="center"/>
          </w:tcPr>
          <w:p w14:paraId="1FDC8A62">
            <w:pPr>
              <w:spacing w:line="360" w:lineRule="exact"/>
              <w:ind w:firstLine="0" w:firstLineChars="0"/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预评价</w:t>
            </w:r>
          </w:p>
        </w:tc>
      </w:tr>
    </w:tbl>
    <w:p w14:paraId="1A7129F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5CC222-47E2-4DC4-B46E-0F3167BB9F0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7D0B320-70DC-4376-9B6D-F00B86C4962F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014C046-13AE-4DFC-9144-0D4FD3E9E4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A3E05"/>
    <w:rsid w:val="716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2025-12-03T08:44:00Z</dcterms:created>
  <dc:creator>弹琴不说爱</dc:creator>
  <cp:lastModifiedBy>弹琴不说爱</cp:lastModifiedBy>
  <dcterms:modified xsi:type="dcterms:W3CDTF">2025-12-03T08:45:06Z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4DDF15C1470547D3A5250B1453769BA0_11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