
<file path=[Content_Types].xml><?xml version="1.0" encoding="utf-8"?>
<Types xmlns="http://schemas.openxmlformats.org/package/2006/content-types">
  <Default Extension="png" ContentType="image/png"/>
  <Default Extension="jpeg" ContentType="image/jpeg"/>
  <Default Extension="JPG" ContentType="image/.jpg"/>
  <Default Extension="wdp" ContentType="image/vnd.ms-photo"/>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D145EB4">
      <w:pPr>
        <w:rPr>
          <w:rFonts w:hint="eastAsia" w:ascii="宋体" w:hAnsi="宋体" w:eastAsia="宋体" w:cs="Times New Roman"/>
          <w:sz w:val="32"/>
          <w:szCs w:val="32"/>
        </w:rPr>
      </w:pPr>
      <w:bookmarkStart w:id="0" w:name="OLE_LINK1"/>
      <w:r>
        <w:rPr>
          <w:rFonts w:hint="eastAsia" w:ascii="宋体" w:hAnsi="宋体" w:eastAsia="宋体" w:cs="Times New Roman"/>
          <w:sz w:val="32"/>
          <w:szCs w:val="32"/>
        </w:rPr>
        <w:t>附件2</w:t>
      </w:r>
    </w:p>
    <w:p w14:paraId="7181F601">
      <w:pPr>
        <w:jc w:val="center"/>
        <w:rPr>
          <w:rFonts w:ascii="宋体" w:hAnsi="宋体" w:eastAsia="宋体" w:cs="Times New Roman"/>
          <w:sz w:val="32"/>
          <w:szCs w:val="32"/>
        </w:rPr>
      </w:pPr>
      <w:r>
        <w:rPr>
          <w:rFonts w:hint="eastAsia" w:ascii="宋体" w:hAnsi="宋体" w:eastAsia="宋体" w:cs="Times New Roman"/>
          <w:sz w:val="32"/>
          <w:szCs w:val="32"/>
        </w:rPr>
        <w:t>建设内部装修工程消防设计常见错误</w:t>
      </w:r>
    </w:p>
    <w:p w14:paraId="2A57E2D7">
      <w:pPr>
        <w:jc w:val="center"/>
        <w:rPr>
          <w:rFonts w:ascii="宋体" w:hAnsi="宋体" w:eastAsia="宋体" w:cs="Times New Roman"/>
          <w:sz w:val="32"/>
          <w:szCs w:val="32"/>
        </w:rPr>
      </w:pPr>
      <w:r>
        <w:rPr>
          <w:rFonts w:hint="eastAsia" w:ascii="宋体" w:hAnsi="宋体" w:eastAsia="宋体" w:cs="Times New Roman"/>
          <w:sz w:val="32"/>
          <w:szCs w:val="32"/>
        </w:rPr>
        <w:t>（征求意见稿）</w:t>
      </w:r>
    </w:p>
    <w:p w14:paraId="67083614">
      <w:pPr>
        <w:jc w:val="center"/>
        <w:rPr>
          <w:rFonts w:hint="eastAsia" w:ascii="宋体" w:hAnsi="宋体" w:eastAsia="宋体" w:cs="Times New Roman"/>
          <w:sz w:val="32"/>
          <w:szCs w:val="32"/>
        </w:rPr>
      </w:pPr>
    </w:p>
    <w:p w14:paraId="21C783AB">
      <w:pPr>
        <w:jc w:val="center"/>
        <w:rPr>
          <w:rFonts w:hint="eastAsia" w:ascii="宋体" w:hAnsi="宋体" w:eastAsia="宋体" w:cs="Times New Roman"/>
          <w:sz w:val="32"/>
          <w:szCs w:val="32"/>
        </w:rPr>
      </w:pPr>
      <w:r>
        <w:rPr>
          <w:rFonts w:hint="eastAsia" w:ascii="宋体" w:hAnsi="宋体" w:eastAsia="宋体" w:cs="Times New Roman"/>
          <w:sz w:val="32"/>
          <w:szCs w:val="32"/>
        </w:rPr>
        <w:t>1</w:t>
      </w:r>
      <w:r>
        <w:rPr>
          <w:rFonts w:ascii="宋体" w:hAnsi="宋体" w:eastAsia="宋体" w:cs="Times New Roman"/>
          <w:sz w:val="32"/>
          <w:szCs w:val="32"/>
        </w:rPr>
        <w:t xml:space="preserve"> </w:t>
      </w:r>
      <w:r>
        <w:rPr>
          <w:rFonts w:hint="eastAsia" w:ascii="宋体" w:hAnsi="宋体" w:eastAsia="宋体" w:cs="Times New Roman"/>
          <w:sz w:val="32"/>
          <w:szCs w:val="32"/>
        </w:rPr>
        <w:t>建筑</w:t>
      </w:r>
    </w:p>
    <w:p w14:paraId="7E1301F9">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1</w:t>
      </w:r>
      <w:r>
        <w:rPr>
          <w:rFonts w:hint="eastAsia" w:ascii="宋体" w:hAnsi="宋体" w:eastAsia="宋体" w:cstheme="minorEastAsia"/>
          <w:sz w:val="28"/>
          <w:szCs w:val="28"/>
        </w:rPr>
        <w:t>.</w:t>
      </w:r>
      <w:r>
        <w:rPr>
          <w:rFonts w:ascii="宋体" w:hAnsi="宋体" w:eastAsia="宋体" w:cstheme="minorEastAsia"/>
          <w:sz w:val="28"/>
          <w:szCs w:val="28"/>
        </w:rPr>
        <w:t>0</w:t>
      </w:r>
      <w:r>
        <w:rPr>
          <w:rFonts w:hint="eastAsia" w:ascii="宋体" w:hAnsi="宋体" w:eastAsia="宋体" w:cstheme="minorEastAsia"/>
          <w:sz w:val="28"/>
          <w:szCs w:val="28"/>
        </w:rPr>
        <w:t>.</w:t>
      </w:r>
      <w:r>
        <w:rPr>
          <w:rFonts w:ascii="宋体" w:hAnsi="宋体" w:eastAsia="宋体" w:cstheme="minorEastAsia"/>
          <w:sz w:val="28"/>
          <w:szCs w:val="28"/>
        </w:rPr>
        <w:t>1</w:t>
      </w:r>
      <w:r>
        <w:rPr>
          <w:rFonts w:hint="eastAsia" w:ascii="宋体" w:hAnsi="宋体" w:eastAsia="宋体" w:cstheme="minorEastAsia"/>
          <w:sz w:val="28"/>
          <w:szCs w:val="28"/>
        </w:rPr>
        <w:t xml:space="preserve"> 装修设计新旧版防火规范各专业执行不统一。</w:t>
      </w:r>
    </w:p>
    <w:p w14:paraId="3A3F98E8">
      <w:pPr>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bookmarkStart w:id="1" w:name="OLE_LINK2"/>
      <w:r>
        <w:rPr>
          <w:rFonts w:hint="eastAsia" w:ascii="宋体" w:hAnsi="宋体" w:eastAsia="宋体" w:cstheme="minorEastAsia"/>
          <w:sz w:val="28"/>
          <w:szCs w:val="28"/>
        </w:rPr>
        <w:t>《重庆市建筑内部装修工程施工图消防设计文件编制技术规定》</w:t>
      </w:r>
      <w:r>
        <w:rPr>
          <w:rFonts w:ascii="宋体" w:hAnsi="宋体" w:eastAsia="宋体"/>
        </w:rPr>
        <w:commentReference w:id="0"/>
      </w:r>
      <w:bookmarkEnd w:id="1"/>
      <w:r>
        <w:rPr>
          <w:rFonts w:hint="eastAsia" w:ascii="宋体" w:hAnsi="宋体" w:eastAsia="宋体" w:cstheme="minorEastAsia"/>
          <w:sz w:val="28"/>
          <w:szCs w:val="28"/>
        </w:rPr>
        <w:t>： 装修消防设计应符合现行建设工程法律法规和国家工程建设消防技术标准的要求。条件确不具备的，在建工程</w:t>
      </w:r>
      <w:r>
        <w:rPr>
          <w:rFonts w:ascii="宋体" w:hAnsi="宋体" w:eastAsia="宋体" w:cstheme="minorEastAsia"/>
          <w:sz w:val="28"/>
          <w:szCs w:val="28"/>
        </w:rPr>
        <w:t>(</w:t>
      </w:r>
      <w:r>
        <w:rPr>
          <w:rFonts w:hint="eastAsia" w:ascii="宋体" w:hAnsi="宋体" w:eastAsia="宋体" w:cstheme="minorEastAsia"/>
          <w:sz w:val="28"/>
          <w:szCs w:val="28"/>
        </w:rPr>
        <w:t>指正在建设尚未竣工验收备案的工程</w:t>
      </w:r>
      <w:r>
        <w:rPr>
          <w:rFonts w:ascii="宋体" w:hAnsi="宋体" w:eastAsia="宋体" w:cstheme="minorEastAsia"/>
          <w:sz w:val="28"/>
          <w:szCs w:val="28"/>
        </w:rPr>
        <w:t>)</w:t>
      </w:r>
      <w:r>
        <w:rPr>
          <w:rFonts w:hint="eastAsia" w:ascii="宋体" w:hAnsi="宋体" w:eastAsia="宋体" w:cstheme="minorEastAsia"/>
          <w:sz w:val="28"/>
          <w:szCs w:val="28"/>
        </w:rPr>
        <w:t>的装修消防设计，不应低于主体工程施工图消防设计标准的要求；既有建筑</w:t>
      </w:r>
      <w:r>
        <w:rPr>
          <w:rFonts w:ascii="宋体" w:hAnsi="宋体" w:eastAsia="宋体" w:cstheme="minorEastAsia"/>
          <w:sz w:val="28"/>
          <w:szCs w:val="28"/>
        </w:rPr>
        <w:t>(</w:t>
      </w:r>
      <w:r>
        <w:rPr>
          <w:rFonts w:hint="eastAsia" w:ascii="宋体" w:hAnsi="宋体" w:eastAsia="宋体" w:cstheme="minorEastAsia"/>
          <w:sz w:val="28"/>
          <w:szCs w:val="28"/>
        </w:rPr>
        <w:t>指取得合法房屋产权证明或已竣工验收备案的建筑</w:t>
      </w:r>
      <w:r>
        <w:rPr>
          <w:rFonts w:ascii="宋体" w:hAnsi="宋体" w:eastAsia="宋体" w:cstheme="minorEastAsia"/>
          <w:sz w:val="28"/>
          <w:szCs w:val="28"/>
        </w:rPr>
        <w:t>)</w:t>
      </w:r>
      <w:r>
        <w:rPr>
          <w:rFonts w:hint="eastAsia" w:ascii="宋体" w:hAnsi="宋体" w:eastAsia="宋体" w:cstheme="minorEastAsia"/>
          <w:sz w:val="28"/>
          <w:szCs w:val="28"/>
        </w:rPr>
        <w:t xml:space="preserve">的装修消防设计，不应低于主体建筑在竣工验收合格时的消防设计标准的要求。  </w:t>
      </w:r>
    </w:p>
    <w:p w14:paraId="34D9C20A">
      <w:pPr>
        <w:numPr>
          <w:ilvl w:val="255"/>
          <w:numId w:val="0"/>
        </w:numPr>
        <w:rPr>
          <w:rFonts w:hint="eastAsia" w:ascii="宋体" w:hAnsi="宋体" w:eastAsia="宋体" w:cstheme="minorEastAsia"/>
          <w:sz w:val="28"/>
          <w:szCs w:val="28"/>
        </w:rPr>
      </w:pPr>
      <w:r>
        <w:rPr>
          <w:rFonts w:hint="eastAsia" w:ascii="宋体" w:hAnsi="宋体" w:eastAsia="宋体" w:cstheme="minorEastAsia"/>
          <w:sz w:val="28"/>
          <w:szCs w:val="28"/>
        </w:rPr>
        <w:t xml:space="preserve">    装修工程各专业消防设计执行标准应满足上述要求。</w:t>
      </w:r>
    </w:p>
    <w:p w14:paraId="20F5D798">
      <w:pPr>
        <w:rPr>
          <w:rFonts w:hint="eastAsia" w:ascii="宋体" w:hAnsi="宋体" w:eastAsia="宋体" w:cstheme="minorEastAsia"/>
          <w:sz w:val="28"/>
          <w:szCs w:val="28"/>
        </w:rPr>
      </w:pPr>
      <w:r>
        <w:rPr>
          <w:rFonts w:hint="eastAsia" w:ascii="宋体" w:hAnsi="宋体" w:eastAsia="宋体" w:cstheme="minorEastAsia"/>
          <w:sz w:val="28"/>
          <w:szCs w:val="28"/>
        </w:rPr>
        <w:t xml:space="preserve">    案例：某装修工程未改变原建筑的功能，但改变了局部防火分区，建筑专业采用的是现行建筑设计防火规范，设备专业采用的是原项目设计时的建筑设计防火规范；</w:t>
      </w:r>
      <w:r>
        <w:rPr>
          <w:rFonts w:hint="eastAsia" w:ascii="宋体" w:hAnsi="宋体" w:eastAsia="宋体" w:cs="宋体"/>
          <w:color w:val="000000"/>
          <w:sz w:val="28"/>
        </w:rPr>
        <w:t>满足上述要求</w:t>
      </w:r>
      <w:r>
        <w:rPr>
          <w:rFonts w:hint="eastAsia" w:ascii="宋体" w:hAnsi="宋体" w:eastAsia="宋体" w:cs="宋体"/>
          <w:spacing w:val="-4"/>
          <w:sz w:val="28"/>
          <w:szCs w:val="28"/>
        </w:rPr>
        <w:t>。</w:t>
      </w:r>
    </w:p>
    <w:p w14:paraId="095FABDE">
      <w:pPr>
        <w:ind w:firstLine="560" w:firstLineChars="200"/>
        <w:jc w:val="left"/>
        <w:rPr>
          <w:rFonts w:hint="eastAsia" w:ascii="宋体" w:hAnsi="宋体" w:eastAsia="宋体" w:cstheme="minorEastAsia"/>
          <w:sz w:val="28"/>
          <w:szCs w:val="28"/>
        </w:rPr>
      </w:pPr>
      <w:r>
        <w:rPr>
          <w:rFonts w:hint="eastAsia" w:ascii="宋体" w:hAnsi="宋体" w:eastAsia="宋体" w:cstheme="minorEastAsia"/>
          <w:sz w:val="28"/>
          <w:szCs w:val="28"/>
        </w:rPr>
        <w:t>1.0.2 装修工程施工图消防设计说明或消防专篇说明中“工程概况”内容缺失或不完善。</w:t>
      </w:r>
    </w:p>
    <w:p w14:paraId="3651201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重庆市建筑内部装修工程施工图消防设计文件编制技术规定》：说明工程概况，内容应包括建设单位、建筑名称、建设地点、使用用途、规模（面积、建筑高度、层数）、主体工程施工图审查合格备案时间（或主体建筑竣工验收时间）、主体结构形式等；建筑防火分类；建筑物装修范围；消防设计及改动情况；</w:t>
      </w:r>
    </w:p>
    <w:p w14:paraId="6149E8C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《重庆市建筑内部装修工程施工图消防设计文件技术审查要点》：除上述外还要求明确餐饮场所热源使用情况。</w:t>
      </w:r>
      <w:r>
        <w:rPr>
          <w:rFonts w:ascii="宋体" w:hAnsi="宋体" w:eastAsia="宋体" w:cstheme="minorEastAsia"/>
          <w:sz w:val="28"/>
          <w:szCs w:val="28"/>
        </w:rPr>
        <w:commentReference w:id="1"/>
      </w:r>
    </w:p>
    <w:p w14:paraId="6B73F7E0">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案例1：某装修工程装修设计总说明有工程概况但无具体内容</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5AF9478E">
      <w:pPr>
        <w:jc w:val="center"/>
        <w:rPr>
          <w:rFonts w:hint="eastAsia" w:ascii="宋体" w:hAnsi="宋体" w:eastAsia="宋体" w:cstheme="minorEastAsia"/>
          <w:sz w:val="28"/>
          <w:szCs w:val="28"/>
        </w:rPr>
      </w:pPr>
      <w:r>
        <w:rPr>
          <w:rFonts w:hint="eastAsia" w:ascii="宋体" w:hAnsi="宋体" w:eastAsia="宋体" w:cstheme="minorEastAsia"/>
          <w:sz w:val="28"/>
          <w:szCs w:val="28"/>
        </w:rPr>
        <w:drawing>
          <wp:inline distT="0" distB="0" distL="114300" distR="114300">
            <wp:extent cx="4565650" cy="2038350"/>
            <wp:effectExtent l="0" t="0" r="6350" b="0"/>
            <wp:docPr id="58" name="图片 58" descr="172432234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724322342646"/>
                    <pic:cNvPicPr>
                      <a:picLocks noChangeAspect="1"/>
                    </pic:cNvPicPr>
                  </pic:nvPicPr>
                  <pic:blipFill>
                    <a:blip r:embed="rId7"/>
                    <a:srcRect t="4443" b="34606"/>
                    <a:stretch>
                      <a:fillRect/>
                    </a:stretch>
                  </pic:blipFill>
                  <pic:spPr>
                    <a:xfrm>
                      <a:off x="0" y="0"/>
                      <a:ext cx="4565650" cy="2038350"/>
                    </a:xfrm>
                    <a:prstGeom prst="rect">
                      <a:avLst/>
                    </a:prstGeom>
                  </pic:spPr>
                </pic:pic>
              </a:graphicData>
            </a:graphic>
          </wp:inline>
        </w:drawing>
      </w:r>
    </w:p>
    <w:p w14:paraId="283B041B">
      <w:pPr>
        <w:ind w:firstLine="560" w:firstLineChars="200"/>
        <w:rPr>
          <w:rFonts w:hint="eastAsia" w:ascii="宋体" w:hAnsi="宋体" w:eastAsia="宋体" w:cs="宋体"/>
          <w:spacing w:val="-4"/>
          <w:sz w:val="28"/>
          <w:szCs w:val="28"/>
        </w:rPr>
      </w:pPr>
      <w:r>
        <w:rPr>
          <w:rFonts w:ascii="宋体" w:hAnsi="宋体" w:eastAsia="宋体" w:cstheme="minorEastAsia"/>
          <w:color w:val="FF0000"/>
          <w:sz w:val="28"/>
          <w:szCs w:val="28"/>
        </w:rPr>
        <w:drawing>
          <wp:anchor distT="0" distB="0" distL="114300" distR="114300" simplePos="0" relativeHeight="251687936" behindDoc="1" locked="0" layoutInCell="1" allowOverlap="1">
            <wp:simplePos x="0" y="0"/>
            <wp:positionH relativeFrom="margin">
              <wp:align>center</wp:align>
            </wp:positionH>
            <wp:positionV relativeFrom="paragraph">
              <wp:posOffset>590550</wp:posOffset>
            </wp:positionV>
            <wp:extent cx="4307205" cy="2145030"/>
            <wp:effectExtent l="0" t="0" r="0" b="7620"/>
            <wp:wrapNone/>
            <wp:docPr id="97" name="图片 97" descr="172432258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724322580700"/>
                    <pic:cNvPicPr>
                      <a:picLocks noChangeAspect="1"/>
                    </pic:cNvPicPr>
                  </pic:nvPicPr>
                  <pic:blipFill>
                    <a:blip r:embed="rId8"/>
                    <a:srcRect b="37989"/>
                    <a:stretch>
                      <a:fillRect/>
                    </a:stretch>
                  </pic:blipFill>
                  <pic:spPr>
                    <a:xfrm>
                      <a:off x="0" y="0"/>
                      <a:ext cx="4307205" cy="2145030"/>
                    </a:xfrm>
                    <a:prstGeom prst="rect">
                      <a:avLst/>
                    </a:prstGeom>
                  </pic:spPr>
                </pic:pic>
              </a:graphicData>
            </a:graphic>
          </wp:anchor>
        </w:drawing>
      </w:r>
      <w:r>
        <w:rPr>
          <w:rFonts w:hint="eastAsia" w:ascii="宋体" w:hAnsi="宋体" w:eastAsia="宋体" w:cstheme="minorEastAsia"/>
          <w:sz w:val="28"/>
          <w:szCs w:val="28"/>
        </w:rPr>
        <w:t>案例2：某装修工程防火专篇设计说明缺工程概况</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7B193A66">
      <w:pPr>
        <w:ind w:firstLine="544" w:firstLineChars="200"/>
        <w:rPr>
          <w:rFonts w:hint="eastAsia" w:ascii="宋体" w:hAnsi="宋体" w:eastAsia="宋体" w:cs="宋体"/>
          <w:spacing w:val="-4"/>
          <w:sz w:val="28"/>
          <w:szCs w:val="28"/>
        </w:rPr>
      </w:pPr>
    </w:p>
    <w:p w14:paraId="11E25CE9">
      <w:pPr>
        <w:ind w:firstLine="544" w:firstLineChars="200"/>
        <w:rPr>
          <w:rFonts w:hint="eastAsia" w:ascii="宋体" w:hAnsi="宋体" w:eastAsia="宋体" w:cs="宋体"/>
          <w:spacing w:val="-4"/>
          <w:sz w:val="28"/>
          <w:szCs w:val="28"/>
        </w:rPr>
      </w:pPr>
    </w:p>
    <w:p w14:paraId="341301E1">
      <w:pPr>
        <w:ind w:firstLine="544" w:firstLineChars="200"/>
        <w:rPr>
          <w:rFonts w:hint="eastAsia" w:ascii="宋体" w:hAnsi="宋体" w:eastAsia="宋体" w:cs="宋体"/>
          <w:spacing w:val="-4"/>
          <w:sz w:val="28"/>
          <w:szCs w:val="28"/>
        </w:rPr>
      </w:pPr>
    </w:p>
    <w:p w14:paraId="583BE729">
      <w:pPr>
        <w:ind w:firstLine="560" w:firstLineChars="200"/>
        <w:rPr>
          <w:rFonts w:hint="eastAsia" w:ascii="宋体" w:hAnsi="宋体" w:eastAsia="宋体" w:cstheme="minorEastAsia"/>
          <w:sz w:val="28"/>
          <w:szCs w:val="28"/>
        </w:rPr>
      </w:pPr>
    </w:p>
    <w:p w14:paraId="0D1FE23F">
      <w:pPr>
        <w:jc w:val="center"/>
        <w:rPr>
          <w:rFonts w:hint="eastAsia" w:ascii="宋体" w:hAnsi="宋体" w:eastAsia="宋体" w:cstheme="minorEastAsia"/>
          <w:sz w:val="28"/>
          <w:szCs w:val="28"/>
        </w:rPr>
      </w:pPr>
    </w:p>
    <w:p w14:paraId="2F35806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1.0.3 装修工程施工图消防设计说明或消防专篇说明中设计依</w:t>
      </w:r>
      <w:r>
        <w:rPr>
          <w:rFonts w:hint="eastAsia" w:ascii="宋体" w:hAnsi="宋体" w:eastAsia="宋体" w:cstheme="minorEastAsia"/>
          <w:sz w:val="28"/>
          <w:szCs w:val="28"/>
        </w:rPr>
        <w:br w:type="textWrapping"/>
      </w:r>
      <w:r>
        <w:rPr>
          <w:rFonts w:hint="eastAsia" w:ascii="宋体" w:hAnsi="宋体" w:eastAsia="宋体" w:cstheme="minorEastAsia"/>
          <w:sz w:val="28"/>
          <w:szCs w:val="28"/>
        </w:rPr>
        <w:t>据规范列举错误或不完整。</w:t>
      </w:r>
    </w:p>
    <w:p w14:paraId="328C57FF">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依据：《重庆市建筑内部装修工程施工图消防设计文件编制技术规定》：在建工程装修消防设计依据应包括以下内容：现行建设工程法律法规、建设管理规定和国家工程建设消防技术标准（名称、编号、年号和版本号）；主体工程的施工图审查合格意见、有关部门消防设计审查意见；主体工程经审查合格的相关施工图及技术资料；其他应当提供的资料。</w:t>
      </w:r>
    </w:p>
    <w:p w14:paraId="4D18A44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既有建筑装修消防设计依据应包括以下内容：现行建设工程法律法规、建设管理规定和国家工程建设消防技术标准（名称、编号、年号和版本号）；主体建筑的有关部门消防验收合格意见或合法房屋产权证明，租赁房屋应提供租赁合同或证明；主体建筑经竣工验收备案的相关竣工图及技术资料；其他应当提供的资料。</w:t>
      </w:r>
    </w:p>
    <w:p w14:paraId="4563456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案例：某装修工程未列举与本项目有关的现行通用规范等</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0C6A8C2A">
      <w:pPr>
        <w:jc w:val="center"/>
        <w:rPr>
          <w:rFonts w:hint="eastAsia" w:ascii="宋体" w:hAnsi="宋体" w:eastAsia="宋体" w:cstheme="minorEastAsia"/>
          <w:sz w:val="28"/>
          <w:szCs w:val="28"/>
        </w:rPr>
      </w:pPr>
      <w:r>
        <w:rPr>
          <w:rFonts w:hint="eastAsia" w:ascii="宋体" w:hAnsi="宋体" w:eastAsia="宋体" w:cstheme="minorEastAsia"/>
          <w:sz w:val="28"/>
          <w:szCs w:val="28"/>
        </w:rPr>
        <w:drawing>
          <wp:inline distT="0" distB="0" distL="114300" distR="114300">
            <wp:extent cx="4711065" cy="2128520"/>
            <wp:effectExtent l="0" t="0" r="13335" b="5080"/>
            <wp:docPr id="48" name="图片 48" descr="172431715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24317151630"/>
                    <pic:cNvPicPr>
                      <a:picLocks noChangeAspect="1"/>
                    </pic:cNvPicPr>
                  </pic:nvPicPr>
                  <pic:blipFill>
                    <a:blip r:embed="rId9"/>
                    <a:stretch>
                      <a:fillRect/>
                    </a:stretch>
                  </pic:blipFill>
                  <pic:spPr>
                    <a:xfrm>
                      <a:off x="0" y="0"/>
                      <a:ext cx="4711065" cy="2128520"/>
                    </a:xfrm>
                    <a:prstGeom prst="rect">
                      <a:avLst/>
                    </a:prstGeom>
                  </pic:spPr>
                </pic:pic>
              </a:graphicData>
            </a:graphic>
          </wp:inline>
        </w:drawing>
      </w:r>
    </w:p>
    <w:p w14:paraId="6E8FD18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1.0.4 装修工程施工图消防设计说明或消防专篇说明中主要内容不完整。</w:t>
      </w:r>
    </w:p>
    <w:p w14:paraId="1E659FE1">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依据：《重庆市建筑内部装修工程施工图消防设计文件编制技术规定》主要设计内容：</w:t>
      </w:r>
      <w:r>
        <w:rPr>
          <w:rFonts w:ascii="宋体" w:hAnsi="宋体" w:eastAsia="宋体" w:cstheme="minorEastAsia"/>
          <w:color w:val="FF0000"/>
          <w:sz w:val="28"/>
          <w:szCs w:val="28"/>
        </w:rPr>
        <w:t xml:space="preserve"> </w:t>
      </w:r>
    </w:p>
    <w:p w14:paraId="3BB3360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 应说明建筑内部装修情况，原建筑及内部装修后的消防设计改动情况；</w:t>
      </w:r>
    </w:p>
    <w:p w14:paraId="652BB83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2 应说明防火分区的划分、防火分隔的设置情况；</w:t>
      </w:r>
    </w:p>
    <w:p w14:paraId="594675A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3 应说明安全疏散情况，包括安全出口、疏散楼梯的数量、净宽度、形式，疏散距离等；</w:t>
      </w:r>
    </w:p>
    <w:p w14:paraId="7F1DAFC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4 应对防火门窗、防火卷帘的技术性能，常开常闭防火门的设置要求，孔洞、井道的封堵防火措施，钢、木构配件的防火构造措施，防爆、泄压的技术措施等内容做说明；</w:t>
      </w:r>
    </w:p>
    <w:p w14:paraId="30ECA8FA">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 应列表说明各部位装修材料的燃烧性能要求；</w:t>
      </w:r>
    </w:p>
    <w:p w14:paraId="021B504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6 应说明各部位的地面、顶棚、墙面、隔断、固定家具、装饰织物及其他装修装饰的材料、施工工艺及做法、材料的燃烧性能等级。（可列表）</w:t>
      </w:r>
    </w:p>
    <w:p w14:paraId="6CE32B8C">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案例：某项目消防专篇未表达装修前后消防设计改动情况、装修材料燃烧性能等级、各种装修材料种类和工艺做法，消防专篇深度不足</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620A9AD0">
      <w:pPr>
        <w:jc w:val="center"/>
        <w:rPr>
          <w:rFonts w:hint="eastAsia" w:ascii="宋体" w:hAnsi="宋体" w:eastAsia="宋体" w:cstheme="minorEastAsia"/>
          <w:color w:val="FF0000"/>
          <w:sz w:val="28"/>
          <w:szCs w:val="28"/>
        </w:rPr>
      </w:pPr>
      <w:r>
        <w:rPr>
          <w:rFonts w:hint="eastAsia" w:ascii="宋体" w:hAnsi="宋体" w:eastAsia="宋体" w:cstheme="minorEastAsia"/>
          <w:color w:val="FF0000"/>
          <w:sz w:val="28"/>
          <w:szCs w:val="28"/>
        </w:rPr>
        <w:drawing>
          <wp:inline distT="0" distB="0" distL="114300" distR="114300">
            <wp:extent cx="4495165" cy="2266950"/>
            <wp:effectExtent l="0" t="0" r="635" b="0"/>
            <wp:docPr id="62" name="图片 62" descr="172432307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724323078254"/>
                    <pic:cNvPicPr>
                      <a:picLocks noChangeAspect="1"/>
                    </pic:cNvPicPr>
                  </pic:nvPicPr>
                  <pic:blipFill>
                    <a:blip r:embed="rId10"/>
                    <a:stretch>
                      <a:fillRect/>
                    </a:stretch>
                  </pic:blipFill>
                  <pic:spPr>
                    <a:xfrm>
                      <a:off x="0" y="0"/>
                      <a:ext cx="4495165" cy="2266950"/>
                    </a:xfrm>
                    <a:prstGeom prst="rect">
                      <a:avLst/>
                    </a:prstGeom>
                  </pic:spPr>
                </pic:pic>
              </a:graphicData>
            </a:graphic>
          </wp:inline>
        </w:drawing>
      </w:r>
    </w:p>
    <w:p w14:paraId="3807EEA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1.0.5 丙类厂房的装修工程施工图消防设计说明或消防专篇说明中未明确是否为劳动密集型厂房。</w:t>
      </w:r>
    </w:p>
    <w:p w14:paraId="235ADC60">
      <w:pPr>
        <w:ind w:firstLine="560" w:firstLineChars="200"/>
        <w:rPr>
          <w:rFonts w:hint="eastAsia" w:ascii="宋体" w:hAnsi="宋体" w:eastAsia="宋体" w:cstheme="minorEastAsia"/>
          <w:sz w:val="28"/>
          <w:szCs w:val="28"/>
        </w:rPr>
      </w:pPr>
      <w:r>
        <w:rPr>
          <w:rFonts w:ascii="宋体" w:hAnsi="宋体" w:eastAsia="宋体" w:cstheme="minorEastAsia"/>
          <w:sz w:val="28"/>
          <w:szCs w:val="28"/>
        </w:rPr>
        <w:drawing>
          <wp:anchor distT="0" distB="0" distL="114300" distR="114300" simplePos="0" relativeHeight="251685888" behindDoc="0" locked="0" layoutInCell="1" allowOverlap="1">
            <wp:simplePos x="0" y="0"/>
            <wp:positionH relativeFrom="column">
              <wp:posOffset>796290</wp:posOffset>
            </wp:positionH>
            <wp:positionV relativeFrom="paragraph">
              <wp:posOffset>1159510</wp:posOffset>
            </wp:positionV>
            <wp:extent cx="3462020" cy="2667000"/>
            <wp:effectExtent l="0" t="0" r="5080" b="0"/>
            <wp:wrapSquare wrapText="bothSides"/>
            <wp:docPr id="92" name="图片 92" descr="172431844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724318444768"/>
                    <pic:cNvPicPr>
                      <a:picLocks noChangeAspect="1"/>
                    </pic:cNvPicPr>
                  </pic:nvPicPr>
                  <pic:blipFill>
                    <a:blip r:embed="rId11"/>
                    <a:stretch>
                      <a:fillRect/>
                    </a:stretch>
                  </pic:blipFill>
                  <pic:spPr>
                    <a:xfrm>
                      <a:off x="0" y="0"/>
                      <a:ext cx="3462020" cy="2667000"/>
                    </a:xfrm>
                    <a:prstGeom prst="rect">
                      <a:avLst/>
                    </a:prstGeom>
                  </pic:spPr>
                </pic:pic>
              </a:graphicData>
            </a:graphic>
          </wp:anchor>
        </w:drawing>
      </w:r>
      <w:r>
        <w:rPr>
          <w:rFonts w:hint="eastAsia" w:ascii="宋体" w:hAnsi="宋体" w:eastAsia="宋体" w:cstheme="minorEastAsia"/>
          <w:sz w:val="28"/>
          <w:szCs w:val="28"/>
        </w:rPr>
        <w:t>依据：《建筑内部装修设计防火规范》</w:t>
      </w:r>
      <w:r>
        <w:fldChar w:fldCharType="begin"/>
      </w:r>
      <w:r>
        <w:instrText xml:space="preserve"> HYPERLINK "https://gf.cabr-fire.com/m/list-985.htm" </w:instrText>
      </w:r>
      <w:r>
        <w:fldChar w:fldCharType="separate"/>
      </w:r>
      <w:r>
        <w:rPr>
          <w:rFonts w:hint="eastAsia" w:ascii="宋体" w:hAnsi="宋体" w:eastAsia="宋体" w:cstheme="minorEastAsia"/>
          <w:sz w:val="28"/>
          <w:szCs w:val="28"/>
        </w:rPr>
        <w:t xml:space="preserve"> GB50222-2017</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第6.0.1条：厂房内部各部位装修材料的燃烧性能等级，不应低于本规范表6.0.1的规定。</w:t>
      </w:r>
    </w:p>
    <w:p w14:paraId="6FC51DB2">
      <w:pPr>
        <w:ind w:firstLine="560" w:firstLineChars="200"/>
        <w:rPr>
          <w:rFonts w:hint="eastAsia" w:ascii="宋体" w:hAnsi="宋体" w:eastAsia="宋体" w:cstheme="minorEastAsia"/>
          <w:sz w:val="28"/>
          <w:szCs w:val="28"/>
        </w:rPr>
      </w:pPr>
    </w:p>
    <w:p w14:paraId="78113929">
      <w:pPr>
        <w:ind w:firstLine="560" w:firstLineChars="200"/>
        <w:rPr>
          <w:rFonts w:hint="eastAsia" w:ascii="宋体" w:hAnsi="宋体" w:eastAsia="宋体" w:cstheme="minorEastAsia"/>
          <w:sz w:val="28"/>
          <w:szCs w:val="28"/>
        </w:rPr>
      </w:pPr>
    </w:p>
    <w:p w14:paraId="47CAD1B4">
      <w:pPr>
        <w:ind w:firstLine="560" w:firstLineChars="200"/>
        <w:rPr>
          <w:rFonts w:hint="eastAsia" w:ascii="宋体" w:hAnsi="宋体" w:eastAsia="宋体" w:cstheme="minorEastAsia"/>
          <w:sz w:val="28"/>
          <w:szCs w:val="28"/>
        </w:rPr>
      </w:pPr>
    </w:p>
    <w:p w14:paraId="4ADBD150">
      <w:pPr>
        <w:ind w:firstLine="560" w:firstLineChars="200"/>
        <w:rPr>
          <w:rFonts w:hint="eastAsia" w:ascii="宋体" w:hAnsi="宋体" w:eastAsia="宋体" w:cstheme="minorEastAsia"/>
          <w:sz w:val="28"/>
          <w:szCs w:val="28"/>
        </w:rPr>
      </w:pPr>
    </w:p>
    <w:p w14:paraId="6DF9CB9E">
      <w:pPr>
        <w:ind w:firstLine="560" w:firstLineChars="200"/>
        <w:rPr>
          <w:rFonts w:hint="eastAsia" w:ascii="宋体" w:hAnsi="宋体" w:eastAsia="宋体" w:cstheme="minorEastAsia"/>
          <w:sz w:val="28"/>
          <w:szCs w:val="28"/>
        </w:rPr>
      </w:pPr>
    </w:p>
    <w:p w14:paraId="23055945">
      <w:pPr>
        <w:ind w:firstLine="560" w:firstLineChars="200"/>
        <w:rPr>
          <w:rFonts w:hint="eastAsia" w:ascii="宋体" w:hAnsi="宋体" w:eastAsia="宋体" w:cstheme="minorEastAsia"/>
          <w:sz w:val="28"/>
          <w:szCs w:val="28"/>
        </w:rPr>
      </w:pPr>
    </w:p>
    <w:p w14:paraId="1F3E830F">
      <w:pPr>
        <w:ind w:firstLine="560" w:firstLineChars="200"/>
        <w:rPr>
          <w:rFonts w:hint="eastAsia" w:ascii="宋体" w:hAnsi="宋体" w:eastAsia="宋体" w:cstheme="minorEastAsia"/>
          <w:sz w:val="28"/>
          <w:szCs w:val="28"/>
        </w:rPr>
      </w:pPr>
    </w:p>
    <w:p w14:paraId="3C36ABD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丙类厂房是否为劳动密集型厂房，装修材料燃烧性能等级要求不一致。在装修工程施工图消防设计说明或消防专篇说明中明确是否为劳动密集型厂房。</w:t>
      </w:r>
    </w:p>
    <w:p w14:paraId="186C4030">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案例：设计文件项目概况表达了建筑使用性质为丙类工业厂房，但未明确是否为人员密集场所，导致无法核查本次装修设计选用材料燃烧性能等级是否满足规范要求</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0BE7316E">
      <w:pPr>
        <w:jc w:val="center"/>
        <w:rPr>
          <w:rFonts w:hint="eastAsia" w:ascii="宋体" w:hAnsi="宋体" w:eastAsia="宋体" w:cstheme="minorEastAsia"/>
          <w:color w:val="FF0000"/>
          <w:sz w:val="28"/>
          <w:szCs w:val="28"/>
        </w:rPr>
      </w:pPr>
      <w:r>
        <w:rPr>
          <w:rFonts w:hint="eastAsia" w:ascii="宋体" w:hAnsi="宋体" w:eastAsia="宋体" w:cstheme="minorEastAsia"/>
          <w:color w:val="FF0000"/>
          <w:sz w:val="28"/>
          <w:szCs w:val="28"/>
        </w:rPr>
        <w:drawing>
          <wp:inline distT="0" distB="0" distL="114300" distR="114300">
            <wp:extent cx="5269230" cy="1479550"/>
            <wp:effectExtent l="0" t="0" r="7620" b="6350"/>
            <wp:docPr id="53" name="图片 53" descr="1724319517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724319517048"/>
                    <pic:cNvPicPr>
                      <a:picLocks noChangeAspect="1"/>
                    </pic:cNvPicPr>
                  </pic:nvPicPr>
                  <pic:blipFill>
                    <a:blip r:embed="rId12"/>
                    <a:stretch>
                      <a:fillRect/>
                    </a:stretch>
                  </pic:blipFill>
                  <pic:spPr>
                    <a:xfrm>
                      <a:off x="0" y="0"/>
                      <a:ext cx="5269230" cy="1479550"/>
                    </a:xfrm>
                    <a:prstGeom prst="rect">
                      <a:avLst/>
                    </a:prstGeom>
                  </pic:spPr>
                </pic:pic>
              </a:graphicData>
            </a:graphic>
          </wp:inline>
        </w:drawing>
      </w:r>
    </w:p>
    <w:p w14:paraId="3F60011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1.0.6 装修设计将原高层商业建筑改成儿童活动场所，未设置独立的安全出口和疏散楼梯。</w:t>
      </w:r>
    </w:p>
    <w:p w14:paraId="61165E5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"https://www.cabr-fire.com/gf/991/list-991.htm" </w:instrText>
      </w:r>
      <w:r>
        <w:fldChar w:fldCharType="separate"/>
      </w:r>
      <w:r>
        <w:rPr>
          <w:rFonts w:hint="eastAsia" w:ascii="宋体" w:hAnsi="宋体" w:eastAsia="宋体" w:cstheme="minorEastAsia"/>
          <w:sz w:val="28"/>
          <w:szCs w:val="28"/>
        </w:rPr>
        <w:t>建筑设计防火规范》</w:t>
      </w:r>
      <w:r>
        <w:rPr>
          <w:rFonts w:ascii="宋体" w:hAnsi="宋体" w:eastAsia="宋体" w:cstheme="minorEastAsia"/>
          <w:sz w:val="28"/>
          <w:szCs w:val="28"/>
        </w:rPr>
        <w:t>GB50016-2014（2018年版）</w:t>
      </w:r>
      <w:r>
        <w:rPr>
          <w:rFonts w:ascii="宋体" w:hAnsi="宋体" w:eastAsia="宋体" w:cstheme="minorEastAsia"/>
          <w:sz w:val="28"/>
          <w:szCs w:val="28"/>
        </w:rPr>
        <w:fldChar w:fldCharType="end"/>
      </w:r>
      <w:r>
        <w:rPr>
          <w:rFonts w:hint="eastAsia" w:ascii="宋体" w:hAnsi="宋体" w:eastAsia="宋体" w:cstheme="minorEastAsia"/>
          <w:sz w:val="28"/>
          <w:szCs w:val="28"/>
        </w:rPr>
        <w:t>第</w:t>
      </w:r>
      <w:r>
        <w:rPr>
          <w:rFonts w:ascii="宋体" w:hAnsi="宋体" w:eastAsia="宋体" w:cstheme="minorEastAsia"/>
          <w:sz w:val="28"/>
          <w:szCs w:val="28"/>
        </w:rPr>
        <w:t>5.4.4-5条</w:t>
      </w:r>
      <w:r>
        <w:rPr>
          <w:rFonts w:hint="eastAsia" w:ascii="宋体" w:hAnsi="宋体" w:eastAsia="宋体" w:cstheme="minorEastAsia"/>
          <w:sz w:val="28"/>
          <w:szCs w:val="28"/>
        </w:rPr>
        <w:t>：托儿所、幼儿园的儿童用房和儿童游乐厅等儿童活动场所设置在高层建筑内时，应设置独立的安全出口和疏散楼梯。</w:t>
      </w:r>
    </w:p>
    <w:p w14:paraId="322E160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《建筑防火通用规范》</w:t>
      </w:r>
      <w:r>
        <w:rPr>
          <w:rFonts w:ascii="宋体" w:hAnsi="宋体" w:eastAsia="宋体" w:cstheme="minorEastAsia"/>
          <w:sz w:val="28"/>
          <w:szCs w:val="28"/>
        </w:rPr>
        <w:t>GB55037-2022第7.4.3条</w:t>
      </w:r>
      <w:r>
        <w:rPr>
          <w:rFonts w:hint="eastAsia" w:ascii="宋体" w:hAnsi="宋体" w:eastAsia="宋体" w:cstheme="minorEastAsia"/>
          <w:sz w:val="28"/>
          <w:szCs w:val="28"/>
        </w:rPr>
        <w:t>：位于高层建筑内的儿童活动场所，安全出口和疏散楼梯应独立设置。</w:t>
      </w:r>
    </w:p>
    <w:p w14:paraId="2D10165C">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案例：原建筑是高层商场，装饰设计将裙房商业二层局部改成儿童活动场所，仍使用原商场的公共疏散楼梯，没有设置儿童活动场所的独立安全出口或疏散楼梯</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5D369F03">
      <w:pPr>
        <w:jc w:val="center"/>
        <w:rPr>
          <w:rFonts w:hint="eastAsia" w:ascii="宋体" w:hAnsi="宋体" w:eastAsia="宋体" w:cstheme="minorEastAsia"/>
          <w:color w:val="FF0000"/>
          <w:sz w:val="28"/>
          <w:szCs w:val="28"/>
        </w:rPr>
      </w:pPr>
      <w:r>
        <w:rPr>
          <w:rFonts w:hint="eastAsia" w:ascii="宋体" w:hAnsi="宋体" w:eastAsia="宋体" w:cstheme="minorEastAsia"/>
          <w:color w:val="FF0000"/>
          <w:sz w:val="28"/>
          <w:szCs w:val="28"/>
        </w:rPr>
        <w:drawing>
          <wp:inline distT="0" distB="0" distL="114300" distR="114300">
            <wp:extent cx="4584700" cy="2211070"/>
            <wp:effectExtent l="0" t="0" r="6350" b="17780"/>
            <wp:docPr id="56" name="图片 56" descr="172432107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724321078425"/>
                    <pic:cNvPicPr>
                      <a:picLocks noChangeAspect="1"/>
                    </pic:cNvPicPr>
                  </pic:nvPicPr>
                  <pic:blipFill>
                    <a:blip r:embed="rId13"/>
                    <a:stretch>
                      <a:fillRect/>
                    </a:stretch>
                  </pic:blipFill>
                  <pic:spPr>
                    <a:xfrm>
                      <a:off x="0" y="0"/>
                      <a:ext cx="4584700" cy="2211070"/>
                    </a:xfrm>
                    <a:prstGeom prst="rect">
                      <a:avLst/>
                    </a:prstGeom>
                  </pic:spPr>
                </pic:pic>
              </a:graphicData>
            </a:graphic>
          </wp:inline>
        </w:drawing>
      </w:r>
    </w:p>
    <w:p w14:paraId="137F1CE5">
      <w:pPr>
        <w:jc w:val="center"/>
        <w:rPr>
          <w:rFonts w:hint="eastAsia" w:ascii="宋体" w:hAnsi="宋体" w:eastAsia="宋体" w:cstheme="minorEastAsia"/>
          <w:color w:val="FF0000"/>
          <w:sz w:val="28"/>
          <w:szCs w:val="28"/>
        </w:rPr>
      </w:pPr>
      <w:r>
        <w:rPr>
          <w:rFonts w:hint="eastAsia" w:ascii="宋体" w:hAnsi="宋体" w:eastAsia="宋体" w:cstheme="minorEastAsia"/>
          <w:color w:val="FF0000"/>
          <w:sz w:val="28"/>
          <w:szCs w:val="28"/>
        </w:rPr>
        <w:drawing>
          <wp:inline distT="0" distB="0" distL="114300" distR="114300">
            <wp:extent cx="4784090" cy="3129915"/>
            <wp:effectExtent l="0" t="0" r="16510" b="13335"/>
            <wp:docPr id="57" name="图片 57" descr="172432117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724321170440"/>
                    <pic:cNvPicPr>
                      <a:picLocks noChangeAspect="1"/>
                    </pic:cNvPicPr>
                  </pic:nvPicPr>
                  <pic:blipFill>
                    <a:blip r:embed="rId14"/>
                    <a:stretch>
                      <a:fillRect/>
                    </a:stretch>
                  </pic:blipFill>
                  <pic:spPr>
                    <a:xfrm>
                      <a:off x="0" y="0"/>
                      <a:ext cx="4784090" cy="3129915"/>
                    </a:xfrm>
                    <a:prstGeom prst="rect">
                      <a:avLst/>
                    </a:prstGeom>
                  </pic:spPr>
                </pic:pic>
              </a:graphicData>
            </a:graphic>
          </wp:inline>
        </w:drawing>
      </w:r>
    </w:p>
    <w:p w14:paraId="018253D4">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1.0.7</w:t>
      </w:r>
      <w:r>
        <w:rPr>
          <w:rFonts w:hint="eastAsia" w:ascii="宋体" w:hAnsi="宋体" w:eastAsia="宋体" w:cstheme="minorEastAsia"/>
          <w:sz w:val="28"/>
          <w:szCs w:val="28"/>
        </w:rPr>
        <w:t xml:space="preserve"> 装修设计改变原建筑功能后疏散距离不满足规范要求。</w:t>
      </w:r>
    </w:p>
    <w:p w14:paraId="7FD6AE5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w:t>
      </w:r>
      <w:r>
        <w:rPr>
          <w:rFonts w:ascii="宋体" w:hAnsi="宋体" w:eastAsia="宋体" w:cstheme="minorEastAsia"/>
          <w:sz w:val="28"/>
          <w:szCs w:val="28"/>
        </w:rPr>
        <w:t>GB55037-2022第7.</w:t>
      </w:r>
      <w:r>
        <w:rPr>
          <w:rFonts w:hint="eastAsia" w:ascii="宋体" w:hAnsi="宋体" w:eastAsia="宋体" w:cstheme="minorEastAsia"/>
          <w:sz w:val="28"/>
          <w:szCs w:val="28"/>
        </w:rPr>
        <w:t>1</w:t>
      </w:r>
      <w:r>
        <w:rPr>
          <w:rFonts w:ascii="宋体" w:hAnsi="宋体" w:eastAsia="宋体" w:cstheme="minorEastAsia"/>
          <w:sz w:val="28"/>
          <w:szCs w:val="28"/>
        </w:rPr>
        <w:t>.3条</w:t>
      </w:r>
      <w:r>
        <w:rPr>
          <w:rFonts w:hint="eastAsia" w:ascii="宋体" w:hAnsi="宋体" w:eastAsia="宋体" w:cstheme="minorEastAsia"/>
          <w:sz w:val="28"/>
          <w:szCs w:val="28"/>
        </w:rPr>
        <w:t>：建筑中的最大疏散距离应根据建筑的耐火等级、火灾危险性、空间高度、疏散楼梯（间）的形式和使用人员的特点等因素确定。</w:t>
      </w:r>
    </w:p>
    <w:p w14:paraId="69EA9CD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《建筑设计防火规范》</w:t>
      </w:r>
      <w:r>
        <w:rPr>
          <w:rFonts w:ascii="宋体" w:hAnsi="宋体" w:eastAsia="宋体" w:cstheme="minorEastAsia"/>
          <w:sz w:val="28"/>
          <w:szCs w:val="28"/>
        </w:rPr>
        <w:t>GB50016-2014</w:t>
      </w:r>
      <w:r>
        <w:rPr>
          <w:rFonts w:hint="eastAsia" w:ascii="宋体" w:hAnsi="宋体" w:eastAsia="宋体" w:cstheme="minorEastAsia"/>
          <w:sz w:val="28"/>
          <w:szCs w:val="28"/>
        </w:rPr>
        <w:t>（</w:t>
      </w:r>
      <w:r>
        <w:rPr>
          <w:rFonts w:ascii="宋体" w:hAnsi="宋体" w:eastAsia="宋体" w:cstheme="minorEastAsia"/>
          <w:sz w:val="28"/>
          <w:szCs w:val="28"/>
        </w:rPr>
        <w:t>2018</w:t>
      </w:r>
      <w:r>
        <w:rPr>
          <w:rFonts w:hint="eastAsia" w:ascii="宋体" w:hAnsi="宋体" w:eastAsia="宋体" w:cstheme="minorEastAsia"/>
          <w:sz w:val="28"/>
          <w:szCs w:val="28"/>
        </w:rPr>
        <w:t>年版）表</w:t>
      </w:r>
      <w:r>
        <w:rPr>
          <w:rFonts w:ascii="宋体" w:hAnsi="宋体" w:eastAsia="宋体" w:cstheme="minorEastAsia"/>
          <w:sz w:val="28"/>
          <w:szCs w:val="28"/>
        </w:rPr>
        <w:t>5.5.17</w:t>
      </w:r>
      <w:r>
        <w:rPr>
          <w:rFonts w:hint="eastAsia" w:ascii="宋体" w:hAnsi="宋体" w:eastAsia="宋体" w:cstheme="minorEastAsia"/>
          <w:sz w:val="28"/>
          <w:szCs w:val="28"/>
        </w:rPr>
        <w:t>及注</w:t>
      </w:r>
      <w:r>
        <w:rPr>
          <w:rFonts w:ascii="宋体" w:hAnsi="宋体" w:eastAsia="宋体" w:cstheme="minorEastAsia"/>
          <w:sz w:val="28"/>
          <w:szCs w:val="28"/>
        </w:rPr>
        <w:t>1~4</w:t>
      </w:r>
    </w:p>
    <w:p w14:paraId="688FBEB1">
      <w:pPr>
        <w:rPr>
          <w:rFonts w:hint="eastAsia" w:ascii="宋体" w:hAnsi="宋体" w:eastAsia="宋体" w:cstheme="minorEastAsia"/>
          <w:kern w:val="0"/>
          <w:sz w:val="28"/>
          <w:szCs w:val="28"/>
        </w:rPr>
      </w:pPr>
      <w:r>
        <w:rPr>
          <w:rFonts w:hint="eastAsia" w:ascii="宋体" w:hAnsi="宋体" w:eastAsia="宋体" w:cstheme="minorEastAsia"/>
          <w:kern w:val="0"/>
          <w:sz w:val="28"/>
          <w:szCs w:val="28"/>
        </w:rPr>
        <w:t xml:space="preserve">       </w:t>
      </w:r>
      <w:r>
        <w:rPr>
          <w:rFonts w:ascii="宋体" w:hAnsi="宋体" w:eastAsia="宋体" w:cstheme="minorEastAsia"/>
          <w:kern w:val="0"/>
          <w:sz w:val="28"/>
          <w:szCs w:val="28"/>
        </w:rPr>
        <w:drawing>
          <wp:inline distT="0" distB="0" distL="0" distR="0">
            <wp:extent cx="4409440" cy="2533650"/>
            <wp:effectExtent l="0" t="0" r="0" b="0"/>
            <wp:docPr id="93" name="图片 93" descr="C:\Users\Administrator\AppData\Roaming\Tencent\Users\2237147840\QQ\WinTemp\RichOle\@Y7I3KPU]703}QB{5)CQ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strator\AppData\Roaming\Tencent\Users\2237147840\QQ\WinTemp\RichOle\@Y7I3KPU]703}QB{5)CQG[N.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445140" cy="2553983"/>
                    </a:xfrm>
                    <a:prstGeom prst="rect">
                      <a:avLst/>
                    </a:prstGeom>
                    <a:noFill/>
                    <a:ln>
                      <a:noFill/>
                    </a:ln>
                  </pic:spPr>
                </pic:pic>
              </a:graphicData>
            </a:graphic>
          </wp:inline>
        </w:drawing>
      </w:r>
    </w:p>
    <w:p w14:paraId="6D937D4A">
      <w:pPr>
        <w:ind w:firstLine="840" w:firstLineChars="300"/>
        <w:rPr>
          <w:rFonts w:hint="eastAsia" w:ascii="宋体" w:hAnsi="宋体" w:eastAsia="宋体" w:cstheme="minorEastAsia"/>
          <w:sz w:val="28"/>
          <w:szCs w:val="28"/>
        </w:rPr>
      </w:pPr>
      <w:r>
        <w:rPr>
          <w:rFonts w:hint="eastAsia" w:ascii="宋体" w:hAnsi="宋体" w:eastAsia="宋体" w:cstheme="minorEastAsia"/>
          <w:kern w:val="0"/>
          <w:sz w:val="28"/>
          <w:szCs w:val="28"/>
        </w:rPr>
        <w:drawing>
          <wp:inline distT="0" distB="0" distL="0" distR="0">
            <wp:extent cx="4981575" cy="1998980"/>
            <wp:effectExtent l="0" t="0" r="1905" b="12700"/>
            <wp:docPr id="63" name="图片 63" descr="C:\Users\Administrator\AppData\Roaming\Tencent\Users\2237147840\QQ\WinTemp\RichOle\2MC5~UXW}_OR2QV4~EOL_8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strator\AppData\Roaming\Tencent\Users\2237147840\QQ\WinTemp\RichOle\2MC5~UXW}_OR2QV4~EOL_8V.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012758" cy="2011970"/>
                    </a:xfrm>
                    <a:prstGeom prst="rect">
                      <a:avLst/>
                    </a:prstGeom>
                    <a:noFill/>
                    <a:ln>
                      <a:noFill/>
                    </a:ln>
                  </pic:spPr>
                </pic:pic>
              </a:graphicData>
            </a:graphic>
          </wp:inline>
        </w:drawing>
      </w:r>
    </w:p>
    <w:p w14:paraId="4E3A7CCA">
      <w:pPr>
        <w:rPr>
          <w:rFonts w:hint="eastAsia" w:ascii="宋体" w:hAnsi="宋体" w:eastAsia="宋体" w:cstheme="minorEastAsia"/>
          <w:sz w:val="28"/>
          <w:szCs w:val="28"/>
        </w:rPr>
      </w:pPr>
      <w:r>
        <w:rPr>
          <w:rFonts w:ascii="宋体" w:hAnsi="宋体" w:eastAsia="宋体" w:cstheme="minorEastAsia"/>
          <w:sz w:val="28"/>
          <w:szCs w:val="28"/>
        </w:rPr>
        <w:t xml:space="preserve">    </w:t>
      </w:r>
      <w:r>
        <w:rPr>
          <w:rFonts w:hint="eastAsia" w:ascii="宋体" w:hAnsi="宋体" w:eastAsia="宋体" w:cstheme="minorEastAsia"/>
          <w:sz w:val="28"/>
          <w:szCs w:val="28"/>
        </w:rPr>
        <w:t>建筑室内装修工程设计改变原建筑功能后其疏散距离应按改变后建筑功能的相应标准执行。</w:t>
      </w:r>
    </w:p>
    <w:p w14:paraId="34D2236E">
      <w:pPr>
        <w:widowControl/>
        <w:ind w:firstLine="560" w:firstLineChars="200"/>
        <w:jc w:val="left"/>
        <w:rPr>
          <w:rFonts w:hint="eastAsia" w:ascii="宋体" w:hAnsi="宋体" w:eastAsia="宋体" w:cstheme="minorEastAsia"/>
          <w:sz w:val="28"/>
          <w:szCs w:val="28"/>
        </w:rPr>
      </w:pPr>
      <w:r>
        <w:rPr>
          <w:rFonts w:hint="eastAsia" w:ascii="宋体" w:hAnsi="宋体" w:eastAsia="宋体" w:cstheme="minorEastAsia"/>
          <w:sz w:val="28"/>
          <w:szCs w:val="28"/>
        </w:rPr>
        <w:t>案例：原建筑是高层公共建筑，装修设计将原建筑裙房的商场，部分改成了歌舞娱乐放映游艺场所，尽端疏散距离30米，不满足规范对歌舞娱乐放映游艺场所的要求。</w:t>
      </w:r>
    </w:p>
    <w:p w14:paraId="7CA608D3">
      <w:pPr>
        <w:widowControl/>
        <w:jc w:val="left"/>
        <w:rPr>
          <w:rFonts w:hint="eastAsia" w:ascii="宋体" w:hAnsi="宋体" w:eastAsia="宋体" w:cstheme="minorEastAsia"/>
          <w:sz w:val="28"/>
          <w:szCs w:val="28"/>
        </w:rPr>
      </w:pPr>
    </w:p>
    <w:p w14:paraId="08AD8D01">
      <w:pPr>
        <w:rPr>
          <w:rFonts w:hint="eastAsia" w:ascii="宋体" w:hAnsi="宋体" w:eastAsia="宋体" w:cstheme="minorEastAsia"/>
          <w:kern w:val="0"/>
          <w:sz w:val="28"/>
          <w:szCs w:val="28"/>
        </w:rPr>
      </w:pPr>
    </w:p>
    <w:p w14:paraId="050706B4">
      <w:pPr>
        <w:jc w:val="center"/>
        <w:rPr>
          <w:rFonts w:hint="eastAsia" w:ascii="宋体" w:hAnsi="宋体" w:eastAsia="宋体" w:cstheme="minorEastAsia"/>
          <w:kern w:val="0"/>
          <w:sz w:val="28"/>
          <w:szCs w:val="28"/>
        </w:rPr>
      </w:pPr>
      <w:r>
        <w:rPr>
          <w:rFonts w:hint="eastAsia" w:ascii="宋体" w:hAnsi="宋体" w:eastAsia="宋体" w:cstheme="minorEastAsia"/>
          <w:kern w:val="0"/>
          <w:sz w:val="28"/>
          <w:szCs w:val="28"/>
        </w:rPr>
        <w:drawing>
          <wp:inline distT="0" distB="0" distL="114300" distR="114300">
            <wp:extent cx="2904490" cy="3822700"/>
            <wp:effectExtent l="0" t="1905" r="8255" b="8255"/>
            <wp:docPr id="78" name="图片 78" descr="172464058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24640581603"/>
                    <pic:cNvPicPr>
                      <a:picLocks noChangeAspect="1"/>
                    </pic:cNvPicPr>
                  </pic:nvPicPr>
                  <pic:blipFill>
                    <a:blip r:embed="rId17"/>
                    <a:stretch>
                      <a:fillRect/>
                    </a:stretch>
                  </pic:blipFill>
                  <pic:spPr>
                    <a:xfrm rot="16200000">
                      <a:off x="0" y="0"/>
                      <a:ext cx="2907704" cy="3827143"/>
                    </a:xfrm>
                    <a:prstGeom prst="rect">
                      <a:avLst/>
                    </a:prstGeom>
                  </pic:spPr>
                </pic:pic>
              </a:graphicData>
            </a:graphic>
          </wp:inline>
        </w:drawing>
      </w:r>
    </w:p>
    <w:p w14:paraId="7A25106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1.0.8</w:t>
      </w:r>
      <w:r>
        <w:rPr>
          <w:rFonts w:ascii="宋体" w:hAnsi="宋体" w:eastAsia="宋体" w:cstheme="minorEastAsia"/>
          <w:sz w:val="28"/>
          <w:szCs w:val="28"/>
        </w:rPr>
        <w:t xml:space="preserve"> </w:t>
      </w:r>
      <w:r>
        <w:rPr>
          <w:rFonts w:hint="eastAsia" w:ascii="宋体" w:hAnsi="宋体" w:eastAsia="宋体" w:cstheme="minorEastAsia"/>
          <w:sz w:val="28"/>
          <w:szCs w:val="28"/>
        </w:rPr>
        <w:t>装修设计项目中，有关装修材料燃烧性能等级选用不满足规范要求。</w:t>
      </w:r>
    </w:p>
    <w:p w14:paraId="7AF2D10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55037-2022</w:t>
      </w:r>
      <w:r>
        <w:rPr>
          <w:rFonts w:hint="eastAsia" w:ascii="宋体" w:hAnsi="宋体" w:eastAsia="宋体" w:cstheme="minorEastAsia"/>
          <w:sz w:val="28"/>
          <w:szCs w:val="28"/>
        </w:rPr>
        <w:t>第</w:t>
      </w:r>
      <w:r>
        <w:rPr>
          <w:rFonts w:ascii="宋体" w:hAnsi="宋体" w:eastAsia="宋体" w:cstheme="minorEastAsia"/>
          <w:sz w:val="28"/>
          <w:szCs w:val="28"/>
        </w:rPr>
        <w:t>6.5.3</w:t>
      </w:r>
      <w:r>
        <w:rPr>
          <w:rFonts w:hint="eastAsia" w:ascii="宋体" w:hAnsi="宋体" w:eastAsia="宋体" w:cstheme="minorEastAsia"/>
          <w:sz w:val="28"/>
          <w:szCs w:val="28"/>
        </w:rPr>
        <w:t>条：下列部位的顶棚、墙面和地面内部装修材料的燃烧性能均应为</w:t>
      </w:r>
      <w:r>
        <w:rPr>
          <w:rFonts w:ascii="宋体" w:hAnsi="宋体" w:eastAsia="宋体" w:cstheme="minorEastAsia"/>
          <w:sz w:val="28"/>
          <w:szCs w:val="28"/>
        </w:rPr>
        <w:t>A</w:t>
      </w:r>
      <w:r>
        <w:rPr>
          <w:rFonts w:hint="eastAsia" w:ascii="宋体" w:hAnsi="宋体" w:eastAsia="宋体" w:cstheme="minorEastAsia"/>
          <w:sz w:val="28"/>
          <w:szCs w:val="28"/>
        </w:rPr>
        <w:t>级：</w:t>
      </w:r>
    </w:p>
    <w:p w14:paraId="5049C765">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1 </w:t>
      </w:r>
      <w:r>
        <w:rPr>
          <w:rFonts w:hint="eastAsia" w:ascii="宋体" w:hAnsi="宋体" w:eastAsia="宋体" w:cstheme="minorEastAsia"/>
          <w:sz w:val="28"/>
          <w:szCs w:val="28"/>
        </w:rPr>
        <w:t>避难走道、避难层、避难间；</w:t>
      </w:r>
    </w:p>
    <w:p w14:paraId="39733D0B">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2 </w:t>
      </w:r>
      <w:r>
        <w:rPr>
          <w:rFonts w:hint="eastAsia" w:ascii="宋体" w:hAnsi="宋体" w:eastAsia="宋体" w:cstheme="minorEastAsia"/>
          <w:sz w:val="28"/>
          <w:szCs w:val="28"/>
        </w:rPr>
        <w:t>疏散楼梯间及其前室；</w:t>
      </w:r>
    </w:p>
    <w:p w14:paraId="14F99030">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3 </w:t>
      </w:r>
      <w:r>
        <w:rPr>
          <w:rFonts w:hint="eastAsia" w:ascii="宋体" w:hAnsi="宋体" w:eastAsia="宋体" w:cstheme="minorEastAsia"/>
          <w:sz w:val="28"/>
          <w:szCs w:val="28"/>
        </w:rPr>
        <w:t>消防电梯前室或合用前室。</w:t>
      </w:r>
    </w:p>
    <w:p w14:paraId="451D35F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《建筑内部装修设计防火规范》GB</w:t>
      </w:r>
      <w:r>
        <w:rPr>
          <w:rFonts w:ascii="宋体" w:hAnsi="宋体" w:eastAsia="宋体" w:cstheme="minorEastAsia"/>
          <w:sz w:val="28"/>
          <w:szCs w:val="28"/>
        </w:rPr>
        <w:t>50222-2017</w:t>
      </w:r>
      <w:r>
        <w:rPr>
          <w:rFonts w:hint="eastAsia" w:ascii="宋体" w:hAnsi="宋体" w:eastAsia="宋体" w:cstheme="minorEastAsia"/>
          <w:sz w:val="28"/>
          <w:szCs w:val="28"/>
        </w:rPr>
        <w:t>第</w:t>
      </w:r>
      <w:r>
        <w:rPr>
          <w:rFonts w:ascii="宋体" w:hAnsi="宋体" w:eastAsia="宋体" w:cstheme="minorEastAsia"/>
          <w:sz w:val="28"/>
          <w:szCs w:val="28"/>
        </w:rPr>
        <w:t>4.0.4~4.0.12</w:t>
      </w:r>
      <w:bookmarkStart w:id="2" w:name="_GoBack"/>
      <w:bookmarkEnd w:id="2"/>
      <w:r>
        <w:rPr>
          <w:rFonts w:hint="eastAsia" w:ascii="宋体" w:hAnsi="宋体" w:eastAsia="宋体" w:cstheme="minorEastAsia"/>
          <w:sz w:val="28"/>
          <w:szCs w:val="28"/>
        </w:rPr>
        <w:t>及第</w:t>
      </w:r>
      <w:r>
        <w:rPr>
          <w:rFonts w:ascii="宋体" w:hAnsi="宋体" w:eastAsia="宋体" w:cstheme="minorEastAsia"/>
          <w:sz w:val="28"/>
          <w:szCs w:val="28"/>
        </w:rPr>
        <w:t>5.1.1</w:t>
      </w:r>
      <w:r>
        <w:rPr>
          <w:rFonts w:hint="eastAsia" w:ascii="宋体" w:hAnsi="宋体" w:eastAsia="宋体" w:cstheme="minorEastAsia"/>
          <w:sz w:val="28"/>
          <w:szCs w:val="28"/>
        </w:rPr>
        <w:t>、</w:t>
      </w:r>
      <w:r>
        <w:rPr>
          <w:rFonts w:ascii="宋体" w:hAnsi="宋体" w:eastAsia="宋体" w:cstheme="minorEastAsia"/>
          <w:sz w:val="28"/>
          <w:szCs w:val="28"/>
        </w:rPr>
        <w:t>5.2.1</w:t>
      </w:r>
      <w:r>
        <w:rPr>
          <w:rFonts w:hint="eastAsia" w:ascii="宋体" w:hAnsi="宋体" w:eastAsia="宋体" w:cstheme="minorEastAsia"/>
          <w:sz w:val="28"/>
          <w:szCs w:val="28"/>
        </w:rPr>
        <w:t>、</w:t>
      </w:r>
      <w:r>
        <w:rPr>
          <w:rFonts w:ascii="宋体" w:hAnsi="宋体" w:eastAsia="宋体" w:cstheme="minorEastAsia"/>
          <w:sz w:val="28"/>
          <w:szCs w:val="28"/>
        </w:rPr>
        <w:t>5.3.1</w:t>
      </w:r>
      <w:r>
        <w:rPr>
          <w:rFonts w:hint="eastAsia" w:ascii="宋体" w:hAnsi="宋体" w:eastAsia="宋体" w:cstheme="minorEastAsia"/>
          <w:sz w:val="28"/>
          <w:szCs w:val="28"/>
        </w:rPr>
        <w:t>附表等。</w:t>
      </w:r>
    </w:p>
    <w:p w14:paraId="0CAC04DF">
      <w:pPr>
        <w:ind w:firstLine="489"/>
        <w:rPr>
          <w:rFonts w:hint="eastAsia" w:ascii="宋体" w:hAnsi="宋体" w:eastAsia="宋体" w:cstheme="minorEastAsia"/>
          <w:sz w:val="28"/>
          <w:szCs w:val="28"/>
        </w:rPr>
      </w:pPr>
      <w:r>
        <w:rPr>
          <w:rFonts w:hint="eastAsia" w:ascii="宋体" w:hAnsi="宋体" w:eastAsia="宋体" w:cstheme="minorEastAsia"/>
          <w:sz w:val="28"/>
          <w:szCs w:val="28"/>
        </w:rPr>
        <w:t>案例1：某医疗建筑室内装修设计文件中，顶棚采用乳胶漆不满足规范要求。</w:t>
      </w:r>
    </w:p>
    <w:p w14:paraId="3E43A512">
      <w:pPr>
        <w:rPr>
          <w:rFonts w:hint="eastAsia" w:ascii="宋体" w:hAnsi="宋体" w:eastAsia="宋体" w:cstheme="minorEastAsia"/>
          <w:sz w:val="28"/>
          <w:szCs w:val="28"/>
        </w:rPr>
      </w:pPr>
      <w:r>
        <w:rPr>
          <w:rFonts w:hint="eastAsia" w:ascii="宋体" w:hAnsi="宋体" w:eastAsia="宋体" w:cstheme="minorEastAsia"/>
          <w:sz w:val="28"/>
          <w:szCs w:val="28"/>
        </w:rPr>
        <w:t xml:space="preserve">       </w:t>
      </w:r>
      <w:r>
        <w:rPr>
          <w:rFonts w:ascii="宋体" w:hAnsi="宋体" w:eastAsia="宋体" w:cstheme="minorEastAsia"/>
          <w:sz w:val="28"/>
          <w:szCs w:val="28"/>
        </w:rPr>
        <w:drawing>
          <wp:inline distT="0" distB="0" distL="0" distR="0">
            <wp:extent cx="4514215" cy="1533525"/>
            <wp:effectExtent l="0" t="0" r="635"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4514215" cy="1533525"/>
                    </a:xfrm>
                    <a:prstGeom prst="rect">
                      <a:avLst/>
                    </a:prstGeom>
                    <a:noFill/>
                  </pic:spPr>
                </pic:pic>
              </a:graphicData>
            </a:graphic>
          </wp:inline>
        </w:drawing>
      </w:r>
    </w:p>
    <w:p w14:paraId="4420770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案例2：某办公建筑疏散楼梯间及前室装修材料，顶棚和墙面采用乳胶漆不满足规范要求。</w:t>
      </w:r>
    </w:p>
    <w:p w14:paraId="2C826EE8">
      <w:pPr>
        <w:rPr>
          <w:rFonts w:hint="eastAsia" w:ascii="宋体" w:hAnsi="宋体" w:eastAsia="宋体" w:cstheme="minorEastAsia"/>
          <w:sz w:val="28"/>
          <w:szCs w:val="28"/>
        </w:rPr>
      </w:pPr>
      <w:r>
        <w:rPr>
          <w:rFonts w:hint="eastAsia" w:ascii="宋体" w:hAnsi="宋体" w:eastAsia="宋体" w:cstheme="minorEastAsia"/>
          <w:sz w:val="28"/>
          <w:szCs w:val="28"/>
        </w:rPr>
        <w:t xml:space="preserve">        </w:t>
      </w:r>
      <w:r>
        <w:rPr>
          <w:rFonts w:hint="eastAsia" w:ascii="宋体" w:hAnsi="宋体" w:eastAsia="宋体" w:cstheme="minorEastAsia"/>
          <w:sz w:val="28"/>
          <w:szCs w:val="28"/>
        </w:rPr>
        <w:drawing>
          <wp:inline distT="0" distB="0" distL="0" distR="0">
            <wp:extent cx="3056890" cy="1028700"/>
            <wp:effectExtent l="0" t="0" r="6350" b="762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056890" cy="1028700"/>
                    </a:xfrm>
                    <a:prstGeom prst="rect">
                      <a:avLst/>
                    </a:prstGeom>
                    <a:noFill/>
                  </pic:spPr>
                </pic:pic>
              </a:graphicData>
            </a:graphic>
          </wp:inline>
        </w:drawing>
      </w:r>
    </w:p>
    <w:p w14:paraId="22E5725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1.0.9 装修工程中组合装饰材料燃烧性能等级认定错误。</w:t>
      </w:r>
      <w:r>
        <w:rPr>
          <w:rFonts w:ascii="宋体" w:hAnsi="宋体" w:eastAsia="宋体" w:cstheme="minorEastAsia"/>
          <w:sz w:val="28"/>
          <w:szCs w:val="28"/>
        </w:rPr>
        <w:t xml:space="preserve"> </w:t>
      </w:r>
    </w:p>
    <w:p w14:paraId="575FD54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依据：《建筑内部装修设计防火规范》</w:t>
      </w:r>
      <w:r>
        <w:fldChar w:fldCharType="begin"/>
      </w:r>
      <w:r>
        <w:instrText xml:space="preserve"> HYPERLINK "https://gf.cabr-fire.com/m/list-985.htm" </w:instrText>
      </w:r>
      <w:r>
        <w:fldChar w:fldCharType="separate"/>
      </w:r>
      <w:r>
        <w:rPr>
          <w:rFonts w:hint="eastAsia" w:ascii="宋体" w:hAnsi="宋体" w:eastAsia="宋体" w:cstheme="minorEastAsia"/>
          <w:sz w:val="28"/>
          <w:szCs w:val="28"/>
        </w:rPr>
        <w:t>GB50222-2017</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第3.0.4条及条文说明：考虑到纸面石膏板、矿棉吸声板用量极大这一客观实际，以及建筑设计防火规范中，认定贴在金属龙骨上的纸面石膏板为不燃材料这一事实，特规定如纸面石膏板、矿棉吸声板安装在金属龙骨上，可将其作为A级材料使用。</w:t>
      </w:r>
    </w:p>
    <w:p w14:paraId="12852F87">
      <w:pPr>
        <w:rPr>
          <w:rFonts w:hint="eastAsia" w:ascii="宋体" w:hAnsi="宋体" w:eastAsia="宋体" w:cstheme="minorEastAsia"/>
          <w:sz w:val="28"/>
          <w:szCs w:val="28"/>
        </w:rPr>
      </w:pPr>
      <w:r>
        <w:rPr>
          <w:rFonts w:hint="eastAsia" w:ascii="宋体" w:hAnsi="宋体" w:eastAsia="宋体" w:cstheme="minorEastAsia"/>
          <w:sz w:val="28"/>
          <w:szCs w:val="28"/>
        </w:rPr>
        <w:t xml:space="preserve">    组合装饰材料燃烧性能等级认定应有依据或提供有效的整体检测报告。</w:t>
      </w:r>
    </w:p>
    <w:p w14:paraId="1A7D0CC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案例1：某建筑内部装修设计将安装在木龙骨上的纸面石膏板作为A级装修材料使用，不满足规范要求。</w:t>
      </w:r>
    </w:p>
    <w:p w14:paraId="4A5F4997">
      <w:pPr>
        <w:jc w:val="center"/>
        <w:rPr>
          <w:rFonts w:hint="eastAsia" w:ascii="宋体" w:hAnsi="宋体" w:eastAsia="宋体" w:cstheme="minorEastAsia"/>
          <w:sz w:val="28"/>
          <w:szCs w:val="28"/>
        </w:rPr>
      </w:pPr>
      <w:r>
        <w:rPr>
          <w:rFonts w:hint="eastAsia" w:ascii="宋体" w:hAnsi="宋体" w:eastAsia="宋体" w:cstheme="minorEastAsia"/>
          <w:kern w:val="0"/>
          <w:sz w:val="28"/>
          <w:szCs w:val="28"/>
        </w:rPr>
        <w:drawing>
          <wp:inline distT="0" distB="0" distL="0" distR="0">
            <wp:extent cx="4222750" cy="3075940"/>
            <wp:effectExtent l="0" t="0" r="13970" b="2540"/>
            <wp:docPr id="69" name="图片 69" descr="C:\Users\Administrator\AppData\Roaming\Tencent\Users\2237147840\QQ\WinTemp\RichOle\)}859$2[46W{BPZ%HNK9P5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AppData\Roaming\Tencent\Users\2237147840\QQ\WinTemp\RichOle\)}859$2[46W{BPZ%HNK9P5G.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4227585" cy="3079558"/>
                    </a:xfrm>
                    <a:prstGeom prst="rect">
                      <a:avLst/>
                    </a:prstGeom>
                    <a:noFill/>
                    <a:ln>
                      <a:noFill/>
                    </a:ln>
                  </pic:spPr>
                </pic:pic>
              </a:graphicData>
            </a:graphic>
          </wp:inline>
        </w:drawing>
      </w:r>
    </w:p>
    <w:p w14:paraId="6F24299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案例2：某产业园配套办公楼装饰工程，墙面装饰层会涉及多层装饰材料的情况，但未明确复合材料的燃烧性能等级</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595D40A1">
      <w:pPr>
        <w:jc w:val="center"/>
        <w:rPr>
          <w:rFonts w:hint="eastAsia" w:ascii="宋体" w:hAnsi="宋体" w:eastAsia="宋体" w:cstheme="minorEastAsia"/>
          <w:kern w:val="0"/>
          <w:sz w:val="28"/>
          <w:szCs w:val="28"/>
        </w:rPr>
      </w:pPr>
      <w:r>
        <w:rPr>
          <w:rFonts w:hint="eastAsia" w:ascii="宋体" w:hAnsi="宋体" w:eastAsia="宋体" w:cstheme="minorEastAsia"/>
          <w:kern w:val="0"/>
          <w:sz w:val="28"/>
          <w:szCs w:val="28"/>
        </w:rPr>
        <w:drawing>
          <wp:inline distT="0" distB="0" distL="0" distR="0">
            <wp:extent cx="3063875" cy="2877185"/>
            <wp:effectExtent l="0" t="0" r="3175" b="18415"/>
            <wp:docPr id="70" name="图片 70" descr="C:\Users\Administrator\AppData\Roaming\Tencent\Users\2237147840\QQ\WinTemp\RichOle\9`$_81_[1D)Y]G0@XAVD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AppData\Roaming\Tencent\Users\2237147840\QQ\WinTemp\RichOle\9`$_81_[1D)Y]G0@XAVDV[Y.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063875" cy="2877185"/>
                    </a:xfrm>
                    <a:prstGeom prst="rect">
                      <a:avLst/>
                    </a:prstGeom>
                    <a:noFill/>
                    <a:ln>
                      <a:noFill/>
                    </a:ln>
                  </pic:spPr>
                </pic:pic>
              </a:graphicData>
            </a:graphic>
          </wp:inline>
        </w:drawing>
      </w:r>
    </w:p>
    <w:p w14:paraId="3788B546">
      <w:pPr>
        <w:pStyle w:val="24"/>
        <w:ind w:left="567" w:firstLine="0" w:firstLineChars="0"/>
        <w:rPr>
          <w:rFonts w:hint="eastAsia" w:ascii="宋体" w:hAnsi="宋体" w:eastAsia="宋体" w:cstheme="minorEastAsia"/>
          <w:sz w:val="28"/>
          <w:szCs w:val="28"/>
        </w:rPr>
      </w:pPr>
      <w:r>
        <w:rPr>
          <w:rFonts w:hint="eastAsia" w:ascii="宋体" w:hAnsi="宋体" w:eastAsia="宋体" w:cstheme="minorEastAsia"/>
          <w:sz w:val="28"/>
          <w:szCs w:val="28"/>
        </w:rPr>
        <w:t>1.0.10有固定座位的场所，疏散宽度计算时，疏散人数取值错误。</w:t>
      </w:r>
    </w:p>
    <w:p w14:paraId="129F14A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依据：《建筑设计防火规范》</w:t>
      </w:r>
      <w:r>
        <w:rPr>
          <w:rFonts w:ascii="宋体" w:hAnsi="宋体" w:eastAsia="宋体" w:cstheme="minorEastAsia"/>
          <w:sz w:val="28"/>
          <w:szCs w:val="28"/>
        </w:rPr>
        <w:t>GB500016-2014（2018年版）第5.5.21-5条</w:t>
      </w:r>
      <w:r>
        <w:rPr>
          <w:rFonts w:hint="eastAsia" w:ascii="宋体" w:hAnsi="宋体" w:eastAsia="宋体" w:cstheme="minorEastAsia"/>
          <w:sz w:val="28"/>
          <w:szCs w:val="28"/>
        </w:rPr>
        <w:t>：有固定座位的场所，其疏散人数可按实际座位数的</w:t>
      </w:r>
      <w:r>
        <w:rPr>
          <w:rFonts w:ascii="宋体" w:hAnsi="宋体" w:eastAsia="宋体" w:cstheme="minorEastAsia"/>
          <w:sz w:val="28"/>
          <w:szCs w:val="28"/>
        </w:rPr>
        <w:t xml:space="preserve">1.1 </w:t>
      </w:r>
      <w:r>
        <w:rPr>
          <w:rFonts w:hint="eastAsia" w:ascii="宋体" w:hAnsi="宋体" w:eastAsia="宋体" w:cstheme="minorEastAsia"/>
          <w:sz w:val="28"/>
          <w:szCs w:val="28"/>
        </w:rPr>
        <w:t>倍计算。</w:t>
      </w:r>
    </w:p>
    <w:p w14:paraId="7BE8E6F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案例：某食堂装修设计中，疏散宽度计算人数时未按其固定座位的</w:t>
      </w:r>
      <w:r>
        <w:rPr>
          <w:rFonts w:ascii="宋体" w:hAnsi="宋体" w:eastAsia="宋体" w:cstheme="minorEastAsia"/>
          <w:sz w:val="28"/>
          <w:szCs w:val="28"/>
        </w:rPr>
        <w:t>1.1</w:t>
      </w:r>
      <w:r>
        <w:rPr>
          <w:rFonts w:hint="eastAsia" w:ascii="宋体" w:hAnsi="宋体" w:eastAsia="宋体" w:cstheme="minorEastAsia"/>
          <w:sz w:val="28"/>
          <w:szCs w:val="28"/>
        </w:rPr>
        <w:t>取值</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30F0B14D">
      <w:pPr>
        <w:rPr>
          <w:rFonts w:hint="eastAsia" w:ascii="宋体" w:hAnsi="宋体" w:eastAsia="宋体" w:cstheme="minorEastAsia"/>
          <w:kern w:val="0"/>
          <w:sz w:val="28"/>
          <w:szCs w:val="28"/>
        </w:rPr>
      </w:pPr>
      <w:r>
        <w:rPr>
          <w:rFonts w:hint="eastAsia" w:ascii="宋体" w:hAnsi="宋体" w:eastAsia="宋体" w:cstheme="minorEastAsia"/>
          <w:kern w:val="0"/>
          <w:sz w:val="28"/>
          <w:szCs w:val="28"/>
        </w:rPr>
        <w:drawing>
          <wp:inline distT="0" distB="0" distL="0" distR="0">
            <wp:extent cx="5562600" cy="2924175"/>
            <wp:effectExtent l="0" t="0" r="0" b="9525"/>
            <wp:docPr id="71" name="图片 71" descr="C:\Users\Administrator\AppData\Roaming\Tencent\Users\2237147840\QQ\WinTemp\RichOle\8{9H$I8@H%DRR)HO@Y3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AppData\Roaming\Tencent\Users\2237147840\QQ\WinTemp\RichOle\8{9H$I8@H%DRR)HO@Y3GRA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572032" cy="2929133"/>
                    </a:xfrm>
                    <a:prstGeom prst="rect">
                      <a:avLst/>
                    </a:prstGeom>
                    <a:noFill/>
                    <a:ln>
                      <a:noFill/>
                    </a:ln>
                  </pic:spPr>
                </pic:pic>
              </a:graphicData>
            </a:graphic>
          </wp:inline>
        </w:drawing>
      </w:r>
    </w:p>
    <w:p w14:paraId="1CCE934B">
      <w:pPr>
        <w:widowControl/>
        <w:jc w:val="left"/>
        <w:rPr>
          <w:rFonts w:hint="eastAsia" w:ascii="宋体" w:hAnsi="宋体" w:eastAsia="宋体" w:cstheme="minorEastAsia"/>
          <w:kern w:val="0"/>
          <w:sz w:val="28"/>
          <w:szCs w:val="28"/>
        </w:rPr>
      </w:pPr>
      <w:r>
        <w:rPr>
          <w:rFonts w:hint="eastAsia" w:ascii="宋体" w:hAnsi="宋体" w:eastAsia="宋体" w:cstheme="minorEastAsia"/>
          <w:kern w:val="0"/>
          <w:sz w:val="28"/>
          <w:szCs w:val="28"/>
        </w:rPr>
        <w:drawing>
          <wp:inline distT="0" distB="0" distL="0" distR="0">
            <wp:extent cx="5476875" cy="1220470"/>
            <wp:effectExtent l="0" t="0" r="0" b="0"/>
            <wp:docPr id="64" name="图片 64" descr="C:\Users\Administrator\AppData\Roaming\Tencent\Users\2237147840\QQ\WinTemp\RichOle\4@NA495ENGC4}O@$OF]QN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strator\AppData\Roaming\Tencent\Users\2237147840\QQ\WinTemp\RichOle\4@NA495ENGC4}O@$OF]QNXO.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520040" cy="1230647"/>
                    </a:xfrm>
                    <a:prstGeom prst="rect">
                      <a:avLst/>
                    </a:prstGeom>
                    <a:noFill/>
                    <a:ln>
                      <a:noFill/>
                    </a:ln>
                  </pic:spPr>
                </pic:pic>
              </a:graphicData>
            </a:graphic>
          </wp:inline>
        </w:drawing>
      </w:r>
    </w:p>
    <w:p w14:paraId="4F77F744">
      <w:pPr>
        <w:pStyle w:val="24"/>
        <w:ind w:left="566" w:firstLine="0" w:firstLineChars="0"/>
        <w:rPr>
          <w:rFonts w:hint="eastAsia" w:ascii="宋体" w:hAnsi="宋体" w:eastAsia="宋体" w:cstheme="minorEastAsia"/>
          <w:sz w:val="28"/>
          <w:szCs w:val="28"/>
        </w:rPr>
      </w:pPr>
      <w:r>
        <w:rPr>
          <w:rFonts w:hint="eastAsia" w:ascii="宋体" w:hAnsi="宋体" w:eastAsia="宋体" w:cstheme="minorEastAsia"/>
          <w:sz w:val="28"/>
          <w:szCs w:val="28"/>
        </w:rPr>
        <w:t>1.0.11连接楼梯间的疏散走道宽度小于疏散楼梯间的疏散计算宽度。</w:t>
      </w:r>
    </w:p>
    <w:p w14:paraId="4855BFC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依据：《建筑设计防火规范》</w:t>
      </w:r>
      <w:r>
        <w:rPr>
          <w:rFonts w:ascii="宋体" w:hAnsi="宋体" w:eastAsia="宋体" w:cstheme="minorEastAsia"/>
          <w:sz w:val="28"/>
          <w:szCs w:val="28"/>
        </w:rPr>
        <w:t>GB500016-2014（2018年版）第5.5.21-1</w:t>
      </w:r>
      <w:r>
        <w:rPr>
          <w:rFonts w:hint="eastAsia" w:ascii="宋体" w:hAnsi="宋体" w:eastAsia="宋体" w:cstheme="minorEastAsia"/>
          <w:sz w:val="28"/>
          <w:szCs w:val="28"/>
        </w:rPr>
        <w:t>条：每层的房间疏散门、安全出口、疏散走道和疏散楼梯的各自总净宽度，应根据疏散人数按每</w:t>
      </w:r>
      <w:r>
        <w:rPr>
          <w:rFonts w:ascii="宋体" w:hAnsi="宋体" w:eastAsia="宋体" w:cstheme="minorEastAsia"/>
          <w:sz w:val="28"/>
          <w:szCs w:val="28"/>
        </w:rPr>
        <w:t>100人的最小疏散净宽度不小于表5</w:t>
      </w:r>
      <w:r>
        <w:rPr>
          <w:rFonts w:hint="eastAsia" w:ascii="宋体" w:hAnsi="宋体" w:eastAsia="宋体" w:cstheme="minorEastAsia"/>
          <w:sz w:val="28"/>
          <w:szCs w:val="28"/>
        </w:rPr>
        <w:t>.</w:t>
      </w:r>
      <w:r>
        <w:rPr>
          <w:rFonts w:ascii="宋体" w:hAnsi="宋体" w:eastAsia="宋体" w:cstheme="minorEastAsia"/>
          <w:sz w:val="28"/>
          <w:szCs w:val="28"/>
        </w:rPr>
        <w:t>5</w:t>
      </w:r>
      <w:r>
        <w:rPr>
          <w:rFonts w:hint="eastAsia" w:ascii="宋体" w:hAnsi="宋体" w:eastAsia="宋体" w:cstheme="minorEastAsia"/>
          <w:sz w:val="28"/>
          <w:szCs w:val="28"/>
        </w:rPr>
        <w:t>.</w:t>
      </w:r>
      <w:r>
        <w:rPr>
          <w:rFonts w:ascii="宋体" w:hAnsi="宋体" w:eastAsia="宋体" w:cstheme="minorEastAsia"/>
          <w:sz w:val="28"/>
          <w:szCs w:val="28"/>
        </w:rPr>
        <w:t>21-1的规定计算确定。</w:t>
      </w:r>
    </w:p>
    <w:p w14:paraId="1CAAE12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楼梯间前疏散走道净宽不应小于该楼梯间计入疏散宽度的取值。</w:t>
      </w:r>
    </w:p>
    <w:p w14:paraId="628B6C6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案例：某多层公共建筑在装修设计时增加房间或隔墙，在楼梯间处留出的疏散走道净宽</w:t>
      </w:r>
      <w:r>
        <w:rPr>
          <w:rFonts w:ascii="宋体" w:hAnsi="宋体" w:eastAsia="宋体" w:cstheme="minorEastAsia"/>
          <w:sz w:val="28"/>
          <w:szCs w:val="28"/>
        </w:rPr>
        <w:t>1.5</w:t>
      </w:r>
      <w:r>
        <w:rPr>
          <w:rFonts w:hint="eastAsia" w:ascii="宋体" w:hAnsi="宋体" w:eastAsia="宋体" w:cstheme="minorEastAsia"/>
          <w:sz w:val="28"/>
          <w:szCs w:val="28"/>
        </w:rPr>
        <w:t>米，小于该楼梯间疏散宽度计算取值</w:t>
      </w:r>
      <w:r>
        <w:rPr>
          <w:rFonts w:ascii="宋体" w:hAnsi="宋体" w:eastAsia="宋体" w:cstheme="minorEastAsia"/>
          <w:sz w:val="28"/>
          <w:szCs w:val="28"/>
        </w:rPr>
        <w:t>1.8</w:t>
      </w:r>
      <w:r>
        <w:rPr>
          <w:rFonts w:hint="eastAsia" w:ascii="宋体" w:hAnsi="宋体" w:eastAsia="宋体" w:cstheme="minorEastAsia"/>
          <w:sz w:val="28"/>
          <w:szCs w:val="28"/>
        </w:rPr>
        <w:t>米，导致实际疏散宽度</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19CB8FB4">
      <w:pPr>
        <w:jc w:val="center"/>
        <w:rPr>
          <w:rFonts w:hint="eastAsia" w:ascii="宋体" w:hAnsi="宋体" w:eastAsia="宋体" w:cstheme="minorEastAsia"/>
          <w:sz w:val="28"/>
          <w:szCs w:val="28"/>
        </w:rPr>
      </w:pPr>
      <w:r>
        <w:rPr>
          <w:rFonts w:hint="eastAsia" w:ascii="宋体" w:hAnsi="宋体" w:eastAsia="宋体" w:cstheme="minorEastAsia"/>
          <w:kern w:val="0"/>
          <w:sz w:val="28"/>
          <w:szCs w:val="28"/>
        </w:rPr>
        <w:drawing>
          <wp:inline distT="0" distB="0" distL="0" distR="0">
            <wp:extent cx="4763770" cy="2780665"/>
            <wp:effectExtent l="0" t="0" r="6350" b="8255"/>
            <wp:docPr id="73" name="图片 73" descr="C:\Users\Administrator\AppData\Roaming\Tencent\Users\2237147840\QQ\WinTemp\RichOle\OLSQE2NT_ODE5%IJ0[BO07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strator\AppData\Roaming\Tencent\Users\2237147840\QQ\WinTemp\RichOle\OLSQE2NT_ODE5%IJ0[BO07J.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4777644" cy="2788864"/>
                    </a:xfrm>
                    <a:prstGeom prst="rect">
                      <a:avLst/>
                    </a:prstGeom>
                    <a:noFill/>
                    <a:ln>
                      <a:noFill/>
                    </a:ln>
                  </pic:spPr>
                </pic:pic>
              </a:graphicData>
            </a:graphic>
          </wp:inline>
        </w:drawing>
      </w:r>
    </w:p>
    <w:p w14:paraId="1A8DCAE5">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1.0.12 </w:t>
      </w:r>
      <w:r>
        <w:rPr>
          <w:rFonts w:hint="eastAsia" w:ascii="宋体" w:hAnsi="宋体" w:eastAsia="宋体" w:cstheme="minorEastAsia"/>
          <w:sz w:val="28"/>
          <w:szCs w:val="28"/>
        </w:rPr>
        <w:t>装修设计重新划分房间分隔造成楼梯间之间无法联通，不能形成双向疏散。</w:t>
      </w:r>
    </w:p>
    <w:p w14:paraId="4CAD76ED">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55037-2022</w:t>
      </w:r>
      <w:r>
        <w:rPr>
          <w:rFonts w:hint="eastAsia" w:ascii="宋体" w:hAnsi="宋体" w:eastAsia="宋体" w:cstheme="minorEastAsia"/>
          <w:sz w:val="28"/>
          <w:szCs w:val="28"/>
        </w:rPr>
        <w:t>第</w:t>
      </w:r>
      <w:r>
        <w:rPr>
          <w:rFonts w:ascii="宋体" w:hAnsi="宋体" w:eastAsia="宋体" w:cstheme="minorEastAsia"/>
          <w:sz w:val="28"/>
          <w:szCs w:val="28"/>
        </w:rPr>
        <w:t>6.5.1</w:t>
      </w:r>
      <w:r>
        <w:rPr>
          <w:rFonts w:hint="eastAsia" w:ascii="宋体" w:hAnsi="宋体" w:eastAsia="宋体" w:cstheme="minorEastAsia"/>
          <w:sz w:val="28"/>
          <w:szCs w:val="28"/>
        </w:rPr>
        <w:t>条：建筑内部装修不应擅自减少、改动、拆除、遮挡消防设施或器材及其标识、疏散指示标志、疏散出口、疏散走道或疏散横通道，不应擅自改变防火分区或防火分隔、防烟分区及其分隔，不应影响消防设施或器材的使用功能和正常操作。</w:t>
      </w:r>
    </w:p>
    <w:p w14:paraId="35B843BB">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装饰设计应满足原土建设计的双向疏散。</w:t>
      </w:r>
    </w:p>
    <w:p w14:paraId="790B2A6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案例1：某装修工程设计时在楼层增加隔墙并在疏散走道上设置门禁，导致本层两部疏散楼梯之间无法联通，不满足双向疏散要求。</w:t>
      </w:r>
    </w:p>
    <w:p w14:paraId="3C66D0F1">
      <w:pPr>
        <w:rPr>
          <w:rFonts w:hint="eastAsia" w:ascii="宋体" w:hAnsi="宋体" w:eastAsia="宋体" w:cstheme="minorEastAsia"/>
          <w:sz w:val="28"/>
          <w:szCs w:val="28"/>
        </w:rPr>
      </w:pPr>
      <w:r>
        <w:rPr>
          <w:rFonts w:ascii="宋体" w:hAnsi="宋体" w:eastAsia="宋体" w:cstheme="minorEastAsia"/>
          <w:kern w:val="0"/>
          <w:sz w:val="28"/>
          <w:szCs w:val="28"/>
        </w:rPr>
        <w:drawing>
          <wp:inline distT="0" distB="0" distL="0" distR="0">
            <wp:extent cx="5791200" cy="1676400"/>
            <wp:effectExtent l="0" t="0" r="0" b="0"/>
            <wp:docPr id="95" name="图片 95" descr="C:\Users\Administrator\AppData\Roaming\Tencent\Users\2237147840\QQ\WinTemp\RichOle\T9UDQU`WIWY84}OSE[VN3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strator\AppData\Roaming\Tencent\Users\2237147840\QQ\WinTemp\RichOle\T9UDQU`WIWY84}OSE[VN3MA.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791200" cy="1676400"/>
                    </a:xfrm>
                    <a:prstGeom prst="rect">
                      <a:avLst/>
                    </a:prstGeom>
                    <a:noFill/>
                    <a:ln>
                      <a:noFill/>
                    </a:ln>
                  </pic:spPr>
                </pic:pic>
              </a:graphicData>
            </a:graphic>
          </wp:inline>
        </w:drawing>
      </w:r>
    </w:p>
    <w:p w14:paraId="4F6A7C73">
      <w:pPr>
        <w:widowControl/>
        <w:jc w:val="center"/>
        <w:rPr>
          <w:rFonts w:hint="eastAsia" w:ascii="宋体" w:hAnsi="宋体" w:eastAsia="宋体" w:cstheme="minorEastAsia"/>
          <w:kern w:val="0"/>
          <w:sz w:val="28"/>
          <w:szCs w:val="28"/>
        </w:rPr>
      </w:pPr>
      <w:r>
        <w:rPr>
          <w:rFonts w:hint="eastAsia" w:ascii="宋体" w:hAnsi="宋体" w:eastAsia="宋体" w:cstheme="minorEastAsia"/>
          <w:kern w:val="0"/>
          <w:sz w:val="28"/>
          <w:szCs w:val="28"/>
        </w:rPr>
        <w:t>原始平面图</w:t>
      </w:r>
    </w:p>
    <w:p w14:paraId="43352BE2">
      <w:pPr>
        <w:ind w:firstLine="280" w:firstLineChars="100"/>
        <w:rPr>
          <w:rFonts w:hint="eastAsia" w:ascii="宋体" w:hAnsi="宋体" w:eastAsia="宋体" w:cstheme="minorEastAsia"/>
          <w:sz w:val="28"/>
          <w:szCs w:val="28"/>
        </w:rPr>
      </w:pPr>
      <w:r>
        <w:rPr>
          <w:rFonts w:hint="eastAsia" w:ascii="宋体" w:hAnsi="宋体" w:eastAsia="宋体" w:cstheme="minorEastAsia"/>
          <w:kern w:val="0"/>
          <w:sz w:val="28"/>
          <w:szCs w:val="28"/>
        </w:rPr>
        <w:drawing>
          <wp:inline distT="0" distB="0" distL="0" distR="0">
            <wp:extent cx="5603875" cy="1581150"/>
            <wp:effectExtent l="0" t="0" r="0" b="0"/>
            <wp:docPr id="75" name="图片 75" descr="C:\Users\Administrator\AppData\Roaming\Tencent\Users\2237147840\QQ\WinTemp\RichOle\GHN3(0%~5~4X7LED4K1D%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strator\AppData\Roaming\Tencent\Users\2237147840\QQ\WinTemp\RichOle\GHN3(0%~5~4X7LED4K1D%6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603875" cy="1581150"/>
                    </a:xfrm>
                    <a:prstGeom prst="rect">
                      <a:avLst/>
                    </a:prstGeom>
                    <a:noFill/>
                    <a:ln>
                      <a:noFill/>
                    </a:ln>
                  </pic:spPr>
                </pic:pic>
              </a:graphicData>
            </a:graphic>
          </wp:inline>
        </w:drawing>
      </w:r>
    </w:p>
    <w:p w14:paraId="69E14A5A">
      <w:pPr>
        <w:widowControl/>
        <w:jc w:val="center"/>
        <w:rPr>
          <w:rFonts w:hint="eastAsia" w:ascii="宋体" w:hAnsi="宋体" w:eastAsia="宋体" w:cstheme="minorEastAsia"/>
          <w:sz w:val="28"/>
          <w:szCs w:val="28"/>
        </w:rPr>
      </w:pPr>
      <w:r>
        <w:rPr>
          <w:rFonts w:hint="eastAsia" w:ascii="宋体" w:hAnsi="宋体" w:eastAsia="宋体" w:cstheme="minorEastAsia"/>
          <w:kern w:val="0"/>
          <w:sz w:val="28"/>
          <w:szCs w:val="28"/>
        </w:rPr>
        <w:t>装修平面图</w:t>
      </w:r>
    </w:p>
    <w:p w14:paraId="3E0E943F">
      <w:pPr>
        <w:ind w:firstLine="560" w:firstLineChars="200"/>
        <w:rPr>
          <w:rFonts w:hint="eastAsia" w:ascii="宋体" w:hAnsi="宋体" w:eastAsia="宋体" w:cstheme="minorEastAsia"/>
          <w:sz w:val="28"/>
          <w:szCs w:val="28"/>
        </w:rPr>
      </w:pPr>
      <w:r>
        <w:rPr>
          <w:rFonts w:ascii="宋体" w:hAnsi="宋体" w:eastAsia="宋体" w:cstheme="minorEastAsia"/>
          <w:kern w:val="0"/>
          <w:sz w:val="28"/>
          <w:szCs w:val="28"/>
        </w:rPr>
        <w:drawing>
          <wp:anchor distT="0" distB="0" distL="0" distR="0" simplePos="0" relativeHeight="251673600" behindDoc="0" locked="0" layoutInCell="1" allowOverlap="1">
            <wp:simplePos x="0" y="0"/>
            <wp:positionH relativeFrom="column">
              <wp:posOffset>551815</wp:posOffset>
            </wp:positionH>
            <wp:positionV relativeFrom="paragraph">
              <wp:posOffset>791845</wp:posOffset>
            </wp:positionV>
            <wp:extent cx="4217035" cy="2876550"/>
            <wp:effectExtent l="0" t="0" r="0" b="0"/>
            <wp:wrapTopAndBottom/>
            <wp:docPr id="76" name="图片 76" descr="C:\Users\Administrator\AppData\Roaming\Tencent\Users\2237147840\QQ\WinTemp\RichOle\DSJ8RO4M4F7896RGI}_H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strator\AppData\Roaming\Tencent\Users\2237147840\QQ\WinTemp\RichOle\DSJ8RO4M4F7896RGI}_HR%S.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217035" cy="2876550"/>
                    </a:xfrm>
                    <a:prstGeom prst="rect">
                      <a:avLst/>
                    </a:prstGeom>
                    <a:noFill/>
                    <a:ln>
                      <a:noFill/>
                    </a:ln>
                  </pic:spPr>
                </pic:pic>
              </a:graphicData>
            </a:graphic>
          </wp:anchor>
        </w:drawing>
      </w:r>
      <w:r>
        <w:rPr>
          <w:rFonts w:hint="eastAsia" w:ascii="宋体" w:hAnsi="宋体" w:eastAsia="宋体" w:cstheme="minorEastAsia"/>
          <w:sz w:val="28"/>
          <w:szCs w:val="28"/>
        </w:rPr>
        <w:t>案例2：某办公装修设计，将原建筑的疏散走道占用，设计为功能房间，导致本层两部疏散楼梯之间无法联通，不满足双向疏散要求。</w:t>
      </w:r>
    </w:p>
    <w:p w14:paraId="505A0174">
      <w:pPr>
        <w:widowControl/>
        <w:jc w:val="center"/>
        <w:rPr>
          <w:rFonts w:hint="eastAsia" w:ascii="宋体" w:hAnsi="宋体" w:eastAsia="宋体" w:cstheme="minorEastAsia"/>
          <w:kern w:val="0"/>
          <w:sz w:val="28"/>
          <w:szCs w:val="28"/>
        </w:rPr>
      </w:pPr>
      <w:r>
        <w:rPr>
          <w:rFonts w:ascii="宋体" w:hAnsi="宋体" w:eastAsia="宋体" w:cstheme="minorEastAsia"/>
          <w:kern w:val="0"/>
          <w:sz w:val="28"/>
          <w:szCs w:val="28"/>
        </w:rPr>
        <w:t>原始平面</w:t>
      </w:r>
      <w:r>
        <w:rPr>
          <w:rFonts w:hint="eastAsia" w:ascii="宋体" w:hAnsi="宋体" w:eastAsia="宋体" w:cstheme="minorEastAsia"/>
          <w:kern w:val="0"/>
          <w:sz w:val="28"/>
          <w:szCs w:val="28"/>
        </w:rPr>
        <w:t>图</w:t>
      </w:r>
    </w:p>
    <w:p w14:paraId="27F6A21F">
      <w:pPr>
        <w:ind w:firstLine="560" w:firstLineChars="200"/>
        <w:rPr>
          <w:rFonts w:hint="eastAsia" w:ascii="宋体" w:hAnsi="宋体" w:eastAsia="宋体" w:cstheme="minorEastAsia"/>
          <w:sz w:val="28"/>
          <w:szCs w:val="28"/>
        </w:rPr>
      </w:pPr>
      <w:r>
        <w:rPr>
          <w:rFonts w:ascii="宋体" w:hAnsi="宋体" w:eastAsia="宋体" w:cstheme="minorEastAsia"/>
          <w:kern w:val="0"/>
          <w:sz w:val="28"/>
          <w:szCs w:val="28"/>
        </w:rPr>
        <w:drawing>
          <wp:inline distT="0" distB="0" distL="0" distR="0">
            <wp:extent cx="4725035" cy="3409950"/>
            <wp:effectExtent l="0" t="0" r="0" b="0"/>
            <wp:docPr id="96" name="图片 96" descr="C:\Users\Administrator\AppData\Roaming\Tencent\Users\2237147840\QQ\WinTemp\RichOle\MCMBUJ{9%$T[SYMY30$K8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istrator\AppData\Roaming\Tencent\Users\2237147840\QQ\WinTemp\RichOle\MCMBUJ{9%$T[SYMY30$K8S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725035" cy="3409950"/>
                    </a:xfrm>
                    <a:prstGeom prst="rect">
                      <a:avLst/>
                    </a:prstGeom>
                    <a:noFill/>
                    <a:ln>
                      <a:noFill/>
                    </a:ln>
                  </pic:spPr>
                </pic:pic>
              </a:graphicData>
            </a:graphic>
          </wp:inline>
        </w:drawing>
      </w:r>
    </w:p>
    <w:p w14:paraId="3BB65714">
      <w:pPr>
        <w:widowControl/>
        <w:jc w:val="center"/>
        <w:rPr>
          <w:rFonts w:hint="eastAsia" w:ascii="宋体" w:hAnsi="宋体" w:eastAsia="宋体" w:cstheme="minorEastAsia"/>
          <w:kern w:val="0"/>
          <w:sz w:val="28"/>
          <w:szCs w:val="28"/>
        </w:rPr>
      </w:pPr>
      <w:r>
        <w:rPr>
          <w:rFonts w:hint="eastAsia" w:ascii="宋体" w:hAnsi="宋体" w:eastAsia="宋体" w:cstheme="minorEastAsia"/>
          <w:kern w:val="0"/>
          <w:sz w:val="28"/>
          <w:szCs w:val="28"/>
        </w:rPr>
        <w:t>装修平面图</w:t>
      </w:r>
    </w:p>
    <w:p w14:paraId="5D376F9C">
      <w:pPr>
        <w:rPr>
          <w:rFonts w:hint="eastAsia" w:ascii="宋体" w:hAnsi="宋体" w:eastAsia="宋体" w:cstheme="minorEastAsia"/>
          <w:sz w:val="28"/>
          <w:szCs w:val="28"/>
        </w:rPr>
      </w:pPr>
      <w:r>
        <w:rPr>
          <w:rFonts w:hint="eastAsia" w:ascii="宋体" w:hAnsi="宋体" w:eastAsia="宋体" w:cstheme="minorEastAsia"/>
          <w:sz w:val="28"/>
          <w:szCs w:val="28"/>
        </w:rPr>
        <w:t xml:space="preserve">    1.0.13 装饰设计新建隔墙耐火极限不满足规范要求。</w:t>
      </w:r>
    </w:p>
    <w:p w14:paraId="32C1893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依据：根据《建筑设计防火规范》GB50016-2014（2018年版）表5.1.2规定：疏散走道两侧的隔墙应满足1.00h耐火极限要求。</w:t>
      </w:r>
    </w:p>
    <w:p w14:paraId="45BAD3A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drawing>
          <wp:anchor distT="0" distB="0" distL="114300" distR="114300" simplePos="0" relativeHeight="251676672" behindDoc="0" locked="0" layoutInCell="1" allowOverlap="1">
            <wp:simplePos x="0" y="0"/>
            <wp:positionH relativeFrom="column">
              <wp:posOffset>456565</wp:posOffset>
            </wp:positionH>
            <wp:positionV relativeFrom="paragraph">
              <wp:posOffset>1536700</wp:posOffset>
            </wp:positionV>
            <wp:extent cx="5114925" cy="2505075"/>
            <wp:effectExtent l="0" t="0" r="9525" b="9525"/>
            <wp:wrapTopAndBottom/>
            <wp:docPr id="84" name="图片 84" descr="172489930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72489930555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114925" cy="2505075"/>
                    </a:xfrm>
                    <a:prstGeom prst="rect">
                      <a:avLst/>
                    </a:prstGeom>
                  </pic:spPr>
                </pic:pic>
              </a:graphicData>
            </a:graphic>
          </wp:anchor>
        </w:drawing>
      </w:r>
      <w:r>
        <w:rPr>
          <w:rFonts w:hint="eastAsia" w:ascii="宋体" w:hAnsi="宋体" w:eastAsia="宋体" w:cstheme="minorEastAsia"/>
          <w:sz w:val="28"/>
          <w:szCs w:val="28"/>
        </w:rPr>
        <w:t>案例：某装修工程设计时将原建筑平面大空间办公（大空间疏散模式）分隔为小房间（按照功能房间</w:t>
      </w:r>
      <w:r>
        <w:rPr>
          <w:rFonts w:ascii="宋体" w:hAnsi="宋体" w:eastAsia="宋体" w:cstheme="minorEastAsia"/>
          <w:sz w:val="28"/>
          <w:szCs w:val="28"/>
        </w:rPr>
        <w:t>+</w:t>
      </w:r>
      <w:r>
        <w:rPr>
          <w:rFonts w:hint="eastAsia" w:ascii="宋体" w:hAnsi="宋体" w:eastAsia="宋体" w:cstheme="minorEastAsia"/>
          <w:sz w:val="28"/>
          <w:szCs w:val="28"/>
        </w:rPr>
        <w:t>疏散走道的疏散模式设计），但疏散走道两侧的隔墙设置为普通玻璃隔墙，达不到耐火极限1.00h的要求</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2B55CBF7">
      <w:pPr>
        <w:ind w:firstLine="3360" w:firstLineChars="1200"/>
        <w:rPr>
          <w:rFonts w:hint="eastAsia" w:ascii="宋体" w:hAnsi="宋体" w:eastAsia="宋体" w:cstheme="minorEastAsia"/>
          <w:sz w:val="28"/>
          <w:szCs w:val="28"/>
        </w:rPr>
      </w:pPr>
      <w:r>
        <w:rPr>
          <w:rFonts w:hint="eastAsia" w:ascii="宋体" w:hAnsi="宋体" w:eastAsia="宋体" w:cstheme="minorEastAsia"/>
          <w:sz w:val="28"/>
          <w:szCs w:val="28"/>
        </w:rPr>
        <w:t xml:space="preserve"> 原始平面图</w:t>
      </w:r>
    </w:p>
    <w:p w14:paraId="51BD459D">
      <w:pPr>
        <w:jc w:val="center"/>
        <w:rPr>
          <w:rFonts w:hint="eastAsia" w:ascii="宋体" w:hAnsi="宋体" w:eastAsia="宋体" w:cstheme="minorEastAsia"/>
          <w:sz w:val="28"/>
          <w:szCs w:val="28"/>
        </w:rPr>
      </w:pPr>
      <w:r>
        <w:rPr>
          <w:rFonts w:ascii="宋体" w:hAnsi="宋体" w:eastAsia="宋体" w:cstheme="minorEastAsia"/>
          <w:sz w:val="28"/>
          <w:szCs w:val="28"/>
        </w:rPr>
        <w:drawing>
          <wp:anchor distT="0" distB="0" distL="114300" distR="114300" simplePos="0" relativeHeight="251675648" behindDoc="0" locked="0" layoutInCell="1" allowOverlap="1">
            <wp:simplePos x="0" y="0"/>
            <wp:positionH relativeFrom="column">
              <wp:posOffset>-153035</wp:posOffset>
            </wp:positionH>
            <wp:positionV relativeFrom="paragraph">
              <wp:posOffset>39370</wp:posOffset>
            </wp:positionV>
            <wp:extent cx="5641340" cy="1971675"/>
            <wp:effectExtent l="0" t="0" r="0" b="9525"/>
            <wp:wrapTopAndBottom/>
            <wp:docPr id="86" name="图片 86" descr="1724899466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724899466690"/>
                    <pic:cNvPicPr>
                      <a:picLocks noChangeAspect="1"/>
                    </pic:cNvPicPr>
                  </pic:nvPicPr>
                  <pic:blipFill>
                    <a:blip r:embed="rId30">
                      <a:extLst>
                        <a:ext uri="{28A0092B-C50C-407E-A947-70E740481C1C}">
                          <a14:useLocalDpi xmlns:a14="http://schemas.microsoft.com/office/drawing/2010/main" val="0"/>
                        </a:ext>
                      </a:extLst>
                    </a:blip>
                    <a:srcRect r="8218"/>
                    <a:stretch>
                      <a:fillRect/>
                    </a:stretch>
                  </pic:blipFill>
                  <pic:spPr>
                    <a:xfrm>
                      <a:off x="0" y="0"/>
                      <a:ext cx="5641340" cy="1971675"/>
                    </a:xfrm>
                    <a:prstGeom prst="rect">
                      <a:avLst/>
                    </a:prstGeom>
                  </pic:spPr>
                </pic:pic>
              </a:graphicData>
            </a:graphic>
          </wp:anchor>
        </w:drawing>
      </w:r>
      <w:r>
        <w:rPr>
          <w:rFonts w:hint="eastAsia" w:ascii="宋体" w:hAnsi="宋体" w:eastAsia="宋体" w:cstheme="minorEastAsia"/>
          <w:sz w:val="28"/>
          <w:szCs w:val="28"/>
        </w:rPr>
        <w:t>装修平面图</w:t>
      </w:r>
    </w:p>
    <w:p w14:paraId="447EB58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1.0.14 消防电梯前室设计或装修后，前室短边净宽小于</w:t>
      </w:r>
      <w:r>
        <w:rPr>
          <w:rFonts w:ascii="宋体" w:hAnsi="宋体" w:eastAsia="宋体" w:cstheme="minorEastAsia"/>
          <w:sz w:val="28"/>
          <w:szCs w:val="28"/>
        </w:rPr>
        <w:t>2.4</w:t>
      </w:r>
      <w:r>
        <w:rPr>
          <w:rFonts w:hint="eastAsia" w:ascii="宋体" w:hAnsi="宋体" w:eastAsia="宋体" w:cstheme="minorEastAsia"/>
          <w:sz w:val="28"/>
          <w:szCs w:val="28"/>
        </w:rPr>
        <w:t>米。</w:t>
      </w:r>
    </w:p>
    <w:p w14:paraId="4C07215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 xml:space="preserve">55037-2022 </w:t>
      </w:r>
      <w:r>
        <w:rPr>
          <w:rFonts w:hint="eastAsia" w:ascii="宋体" w:hAnsi="宋体" w:eastAsia="宋体" w:cstheme="minorEastAsia"/>
          <w:sz w:val="28"/>
          <w:szCs w:val="28"/>
        </w:rPr>
        <w:t>第</w:t>
      </w:r>
      <w:r>
        <w:rPr>
          <w:rFonts w:ascii="宋体" w:hAnsi="宋体" w:eastAsia="宋体" w:cstheme="minorEastAsia"/>
          <w:sz w:val="28"/>
          <w:szCs w:val="28"/>
        </w:rPr>
        <w:t>2.2.8</w:t>
      </w:r>
      <w:r>
        <w:rPr>
          <w:rFonts w:hint="eastAsia" w:ascii="宋体" w:hAnsi="宋体" w:eastAsia="宋体" w:cstheme="minorEastAsia"/>
          <w:sz w:val="28"/>
          <w:szCs w:val="28"/>
        </w:rPr>
        <w:t>条 消防电梯的前室应符合下列规定：</w:t>
      </w:r>
    </w:p>
    <w:p w14:paraId="4896AE8B">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2 </w:t>
      </w:r>
      <w:r>
        <w:rPr>
          <w:rFonts w:hint="eastAsia" w:ascii="宋体" w:hAnsi="宋体" w:eastAsia="宋体" w:cstheme="minorEastAsia"/>
          <w:sz w:val="28"/>
          <w:szCs w:val="28"/>
        </w:rPr>
        <w:t>前室的使用面积不应小于</w:t>
      </w:r>
      <w:r>
        <w:rPr>
          <w:rFonts w:ascii="宋体" w:hAnsi="宋体" w:eastAsia="宋体" w:cstheme="minorEastAsia"/>
          <w:sz w:val="28"/>
          <w:szCs w:val="28"/>
        </w:rPr>
        <w:t xml:space="preserve"> 6.0m</w:t>
      </w:r>
      <w:r>
        <w:rPr>
          <w:rFonts w:hint="eastAsia" w:ascii="宋体" w:hAnsi="宋体" w:eastAsia="宋体" w:cstheme="minorEastAsia"/>
          <w:sz w:val="28"/>
          <w:szCs w:val="28"/>
        </w:rPr>
        <w:t>²，合用前室的使用面积应符合本规范第</w:t>
      </w:r>
      <w:r>
        <w:rPr>
          <w:rFonts w:ascii="宋体" w:hAnsi="宋体" w:eastAsia="宋体" w:cstheme="minorEastAsia"/>
          <w:sz w:val="28"/>
          <w:szCs w:val="28"/>
        </w:rPr>
        <w:t xml:space="preserve"> 7.1.8 </w:t>
      </w:r>
      <w:r>
        <w:rPr>
          <w:rFonts w:hint="eastAsia" w:ascii="宋体" w:hAnsi="宋体" w:eastAsia="宋体" w:cstheme="minorEastAsia"/>
          <w:sz w:val="28"/>
          <w:szCs w:val="28"/>
        </w:rPr>
        <w:t>条的规定；前室的短边不应小于</w:t>
      </w:r>
      <w:r>
        <w:rPr>
          <w:rFonts w:ascii="宋体" w:hAnsi="宋体" w:eastAsia="宋体" w:cstheme="minorEastAsia"/>
          <w:sz w:val="28"/>
          <w:szCs w:val="28"/>
        </w:rPr>
        <w:t xml:space="preserve"> 2.4m</w:t>
      </w:r>
      <w:r>
        <w:rPr>
          <w:rFonts w:hint="eastAsia" w:ascii="宋体" w:hAnsi="宋体" w:eastAsia="宋体" w:cstheme="minorEastAsia"/>
          <w:sz w:val="28"/>
          <w:szCs w:val="28"/>
        </w:rPr>
        <w:t>。</w:t>
      </w:r>
    </w:p>
    <w:p w14:paraId="03DD7534">
      <w:pPr>
        <w:widowControl/>
        <w:ind w:firstLine="560"/>
        <w:jc w:val="left"/>
        <w:rPr>
          <w:rFonts w:hint="eastAsia" w:ascii="宋体" w:hAnsi="宋体" w:eastAsia="宋体" w:cstheme="minorEastAsia"/>
          <w:sz w:val="28"/>
          <w:szCs w:val="28"/>
        </w:rPr>
      </w:pPr>
      <w:r>
        <w:rPr>
          <w:rFonts w:hint="eastAsia" w:ascii="宋体" w:hAnsi="宋体" w:eastAsia="宋体" w:cstheme="minorEastAsia"/>
          <w:sz w:val="28"/>
          <w:szCs w:val="28"/>
        </w:rPr>
        <w:drawing>
          <wp:anchor distT="0" distB="0" distL="114300" distR="114300" simplePos="0" relativeHeight="251677696" behindDoc="0" locked="0" layoutInCell="1" allowOverlap="1">
            <wp:simplePos x="0" y="0"/>
            <wp:positionH relativeFrom="margin">
              <wp:align>right</wp:align>
            </wp:positionH>
            <wp:positionV relativeFrom="paragraph">
              <wp:posOffset>1487170</wp:posOffset>
            </wp:positionV>
            <wp:extent cx="2343150" cy="2694940"/>
            <wp:effectExtent l="0" t="0" r="0" b="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2343150" cy="2694940"/>
                    </a:xfrm>
                    <a:prstGeom prst="rect">
                      <a:avLst/>
                    </a:prstGeom>
                  </pic:spPr>
                </pic:pic>
              </a:graphicData>
            </a:graphic>
          </wp:anchor>
        </w:drawing>
      </w:r>
      <w:r>
        <w:rPr>
          <w:rFonts w:hint="eastAsia" w:ascii="宋体" w:hAnsi="宋体" w:eastAsia="宋体" w:cstheme="minorEastAsia"/>
          <w:sz w:val="28"/>
          <w:szCs w:val="28"/>
        </w:rPr>
        <w:drawing>
          <wp:anchor distT="0" distB="0" distL="114300" distR="114300" simplePos="0" relativeHeight="251674624" behindDoc="0" locked="0" layoutInCell="1" allowOverlap="1">
            <wp:simplePos x="0" y="0"/>
            <wp:positionH relativeFrom="margin">
              <wp:posOffset>-635</wp:posOffset>
            </wp:positionH>
            <wp:positionV relativeFrom="paragraph">
              <wp:posOffset>1582420</wp:posOffset>
            </wp:positionV>
            <wp:extent cx="2686050" cy="2856230"/>
            <wp:effectExtent l="0" t="0" r="0" b="1270"/>
            <wp:wrapTopAndBottom/>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6050" cy="2856230"/>
                    </a:xfrm>
                    <a:prstGeom prst="rect">
                      <a:avLst/>
                    </a:prstGeom>
                  </pic:spPr>
                </pic:pic>
              </a:graphicData>
            </a:graphic>
          </wp:anchor>
        </w:drawing>
      </w:r>
      <w:r>
        <w:rPr>
          <w:rFonts w:hint="eastAsia" w:ascii="宋体" w:hAnsi="宋体" w:eastAsia="宋体" w:cstheme="minorEastAsia"/>
          <w:sz w:val="28"/>
          <w:szCs w:val="28"/>
        </w:rPr>
        <w:t>案例：</w:t>
      </w:r>
      <w:r>
        <w:rPr>
          <w:rFonts w:hint="eastAsia" w:ascii="宋体" w:hAnsi="宋体" w:eastAsia="宋体" w:cstheme="minorEastAsia"/>
          <w:color w:val="000000"/>
          <w:kern w:val="0"/>
          <w:sz w:val="28"/>
          <w:szCs w:val="28"/>
          <w:lang w:bidi="ar"/>
        </w:rPr>
        <w:t>某办公建筑原设计消防电梯前室预留了墙体抹灰厚度，前室的短边尺寸刚好满足规范要求；但装饰设计采用干挂石材饰面，装饰层厚度增大，完成后消防电梯前室的短边净尺寸小于 2.4m</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61E606C8">
      <w:pPr>
        <w:rPr>
          <w:rFonts w:hint="eastAsia" w:ascii="宋体" w:hAnsi="宋体" w:eastAsia="宋体" w:cstheme="minorEastAsia"/>
          <w:sz w:val="28"/>
          <w:szCs w:val="28"/>
        </w:rPr>
      </w:pPr>
      <w:r>
        <w:rPr>
          <w:rFonts w:hint="eastAsia" w:ascii="宋体" w:hAnsi="宋体" w:eastAsia="宋体" w:cstheme="minorEastAsia"/>
          <w:sz w:val="28"/>
          <w:szCs w:val="28"/>
        </w:rPr>
        <w:t xml:space="preserve">         原始平面图                         装装平面图</w:t>
      </w:r>
    </w:p>
    <w:p w14:paraId="034F66D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1.0.15 装饰装修工程改变或新增的防火墙未设置在结构框架、梁等承重结构上。</w:t>
      </w:r>
    </w:p>
    <w:p w14:paraId="1829AC8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 xml:space="preserve">依据：《建筑防火通用规范》第6.1.1条 </w:t>
      </w:r>
      <w:r>
        <w:rPr>
          <w:rFonts w:ascii="宋体" w:hAnsi="宋体" w:eastAsia="宋体" w:cstheme="minorEastAsia"/>
          <w:sz w:val="28"/>
          <w:szCs w:val="28"/>
        </w:rPr>
        <w:t>防火墙应直接设置在建筑的基础或具有相应耐火性能的框架、梁等承重结构上，并应从楼地面基层隔断至结构梁、楼板或屋面板的底面。</w:t>
      </w:r>
      <w:r>
        <w:rPr>
          <w:rFonts w:hint="eastAsia" w:ascii="宋体" w:hAnsi="宋体" w:eastAsia="宋体" w:cstheme="minorEastAsia"/>
          <w:sz w:val="28"/>
          <w:szCs w:val="28"/>
        </w:rPr>
        <w:t>6.1.2条 防火墙任一侧的建筑结构或构件以及物体受火作用发生破坏或倒塌并作用到防火墙时，防火墙应仍能阻止火灾蔓延至防火墙的另一侧。</w:t>
      </w:r>
    </w:p>
    <w:p w14:paraId="11CBE5FA">
      <w:pPr>
        <w:rPr>
          <w:rFonts w:hint="eastAsia" w:ascii="宋体" w:hAnsi="宋体" w:eastAsia="宋体" w:cstheme="minorEastAsia"/>
          <w:sz w:val="28"/>
          <w:szCs w:val="28"/>
        </w:rPr>
      </w:pPr>
      <w:r>
        <w:rPr>
          <w:rFonts w:hint="eastAsia" w:ascii="宋体" w:hAnsi="宋体" w:eastAsia="宋体" w:cstheme="minorEastAsia"/>
          <w:sz w:val="28"/>
          <w:szCs w:val="28"/>
        </w:rPr>
        <w:t xml:space="preserve">    装修工程中改变或</w:t>
      </w:r>
      <w:r>
        <w:rPr>
          <w:rFonts w:ascii="宋体" w:hAnsi="宋体" w:eastAsia="宋体" w:cstheme="minorEastAsia"/>
          <w:sz w:val="28"/>
          <w:szCs w:val="28"/>
        </w:rPr>
        <w:commentReference w:id="2"/>
      </w:r>
      <w:r>
        <w:rPr>
          <w:rFonts w:hint="eastAsia" w:ascii="宋体" w:hAnsi="宋体" w:eastAsia="宋体" w:cstheme="minorEastAsia"/>
          <w:sz w:val="28"/>
          <w:szCs w:val="28"/>
        </w:rPr>
        <w:t>新增的防火墙应设置在建筑的基础或框架、梁等承重结构上，应能阻止火灾蔓延至防火墙的另一侧。</w:t>
      </w:r>
    </w:p>
    <w:p w14:paraId="56425DC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案例：某装饰装修工程新增耐火极限不低于3.00h或4.00h的轻质防火墙未设置结构框架、梁等承重结构上</w:t>
      </w:r>
      <w:r>
        <w:rPr>
          <w:rFonts w:hint="eastAsia" w:ascii="宋体" w:hAnsi="宋体" w:eastAsia="宋体" w:cs="宋体"/>
          <w:color w:val="000000"/>
          <w:sz w:val="28"/>
        </w:rPr>
        <w:t>。</w:t>
      </w:r>
    </w:p>
    <w:p w14:paraId="4B142003">
      <w:pPr>
        <w:jc w:val="center"/>
        <w:rPr>
          <w:rFonts w:hint="eastAsia" w:ascii="宋体" w:hAnsi="宋体" w:eastAsia="宋体" w:cstheme="minorEastAsia"/>
          <w:sz w:val="28"/>
          <w:szCs w:val="28"/>
        </w:rPr>
      </w:pPr>
      <w:r>
        <w:rPr>
          <w:rFonts w:ascii="宋体" w:hAnsi="宋体" w:eastAsia="宋体" w:cstheme="minorEastAsia"/>
          <w:sz w:val="28"/>
          <w:szCs w:val="28"/>
        </w:rPr>
        <w:drawing>
          <wp:inline distT="0" distB="0" distL="114300" distR="114300">
            <wp:extent cx="5273040" cy="1195070"/>
            <wp:effectExtent l="0" t="0" r="3810" b="5080"/>
            <wp:docPr id="49" name="图片 49" descr="172430961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724309610903"/>
                    <pic:cNvPicPr>
                      <a:picLocks noChangeAspect="1"/>
                    </pic:cNvPicPr>
                  </pic:nvPicPr>
                  <pic:blipFill>
                    <a:blip r:embed="rId33"/>
                    <a:stretch>
                      <a:fillRect/>
                    </a:stretch>
                  </pic:blipFill>
                  <pic:spPr>
                    <a:xfrm>
                      <a:off x="0" y="0"/>
                      <a:ext cx="5273040" cy="1195070"/>
                    </a:xfrm>
                    <a:prstGeom prst="rect">
                      <a:avLst/>
                    </a:prstGeom>
                  </pic:spPr>
                </pic:pic>
              </a:graphicData>
            </a:graphic>
          </wp:inline>
        </w:drawing>
      </w:r>
    </w:p>
    <w:p w14:paraId="5E1CFDF0">
      <w:pPr>
        <w:rPr>
          <w:rFonts w:hint="eastAsia" w:ascii="宋体" w:hAnsi="宋体" w:eastAsia="宋体" w:cstheme="minorEastAsia"/>
          <w:color w:val="FF0000"/>
          <w:sz w:val="28"/>
          <w:szCs w:val="28"/>
        </w:rPr>
      </w:pPr>
      <w:r>
        <w:rPr>
          <w:rFonts w:hint="eastAsia" w:ascii="宋体" w:hAnsi="宋体" w:eastAsia="宋体" w:cstheme="minorEastAsia"/>
          <w:sz w:val="28"/>
          <w:szCs w:val="28"/>
        </w:rPr>
        <w:drawing>
          <wp:anchor distT="0" distB="0" distL="114300" distR="114300" simplePos="0" relativeHeight="251678720" behindDoc="0" locked="0" layoutInCell="1" allowOverlap="1">
            <wp:simplePos x="0" y="0"/>
            <wp:positionH relativeFrom="column">
              <wp:posOffset>1615440</wp:posOffset>
            </wp:positionH>
            <wp:positionV relativeFrom="paragraph">
              <wp:posOffset>46990</wp:posOffset>
            </wp:positionV>
            <wp:extent cx="1786890" cy="2305050"/>
            <wp:effectExtent l="0" t="0" r="3810" b="0"/>
            <wp:wrapSquare wrapText="bothSides"/>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1786890" cy="2305050"/>
                    </a:xfrm>
                    <a:prstGeom prst="rect">
                      <a:avLst/>
                    </a:prstGeom>
                  </pic:spPr>
                </pic:pic>
              </a:graphicData>
            </a:graphic>
          </wp:anchor>
        </w:drawing>
      </w:r>
      <w:r>
        <w:rPr>
          <w:rFonts w:hint="eastAsia" w:ascii="宋体" w:hAnsi="宋体" w:eastAsia="宋体" w:cstheme="minorEastAsia"/>
          <w:sz w:val="28"/>
          <w:szCs w:val="28"/>
        </w:rPr>
        <w:t xml:space="preserve">               </w:t>
      </w:r>
    </w:p>
    <w:p w14:paraId="1946BAC7">
      <w:pPr>
        <w:rPr>
          <w:rFonts w:hint="eastAsia" w:ascii="宋体" w:hAnsi="宋体" w:eastAsia="宋体" w:cstheme="minorEastAsia"/>
          <w:color w:val="FF0000"/>
          <w:sz w:val="28"/>
          <w:szCs w:val="28"/>
        </w:rPr>
      </w:pPr>
    </w:p>
    <w:p w14:paraId="49782EEC">
      <w:pPr>
        <w:ind w:left="9800" w:hanging="9800" w:hangingChars="3500"/>
        <w:rPr>
          <w:rFonts w:hint="eastAsia" w:ascii="宋体" w:hAnsi="宋体" w:eastAsia="宋体" w:cstheme="minorEastAsia"/>
          <w:sz w:val="28"/>
          <w:szCs w:val="28"/>
        </w:rPr>
      </w:pPr>
    </w:p>
    <w:p w14:paraId="22ACEA47">
      <w:pPr>
        <w:ind w:left="9800" w:hanging="9800" w:hangingChars="3500"/>
        <w:rPr>
          <w:rFonts w:hint="eastAsia" w:ascii="宋体" w:hAnsi="宋体" w:eastAsia="宋体" w:cstheme="minorEastAsia"/>
          <w:sz w:val="28"/>
          <w:szCs w:val="28"/>
        </w:rPr>
      </w:pPr>
    </w:p>
    <w:p w14:paraId="5EA477C3">
      <w:pPr>
        <w:ind w:left="9800" w:hanging="9800" w:hangingChars="3500"/>
        <w:rPr>
          <w:rFonts w:hint="eastAsia" w:ascii="宋体" w:hAnsi="宋体" w:eastAsia="宋体" w:cstheme="minorEastAsia"/>
          <w:sz w:val="28"/>
          <w:szCs w:val="28"/>
        </w:rPr>
      </w:pPr>
    </w:p>
    <w:p w14:paraId="6693691A">
      <w:pPr>
        <w:ind w:left="9788" w:leftChars="2261" w:hanging="5040" w:hangingChars="1800"/>
        <w:rPr>
          <w:rFonts w:hint="eastAsia" w:ascii="宋体" w:hAnsi="宋体" w:eastAsia="宋体" w:cstheme="minorEastAsia"/>
          <w:color w:val="FF0000"/>
          <w:sz w:val="28"/>
          <w:szCs w:val="28"/>
        </w:rPr>
      </w:pPr>
      <w:r>
        <w:rPr>
          <w:rFonts w:hint="eastAsia" w:ascii="宋体" w:hAnsi="宋体" w:eastAsia="宋体" w:cstheme="minorEastAsia"/>
          <w:sz w:val="28"/>
          <w:szCs w:val="28"/>
        </w:rPr>
        <w:t>剖面图</w:t>
      </w:r>
    </w:p>
    <w:p w14:paraId="2353647A">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1.0.16 装饰装修工程新增疏散出口净高不满足现行通用规范要求。</w:t>
      </w:r>
    </w:p>
    <w:p w14:paraId="51425A3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依据：《建筑防火通用规范》GB55037-2022第7.1.5条及条文说明： 疏散通道、疏散走道、疏散出口的净高度均不应小于</w:t>
      </w:r>
      <w:r>
        <w:rPr>
          <w:rFonts w:ascii="宋体" w:hAnsi="宋体" w:eastAsia="宋体" w:cstheme="minorEastAsia"/>
          <w:sz w:val="28"/>
          <w:szCs w:val="28"/>
        </w:rPr>
        <w:t>2.1m</w:t>
      </w:r>
      <w:r>
        <w:rPr>
          <w:rFonts w:hint="eastAsia" w:ascii="宋体" w:hAnsi="宋体" w:eastAsia="宋体" w:cstheme="minorEastAsia"/>
          <w:sz w:val="28"/>
          <w:szCs w:val="28"/>
        </w:rPr>
        <w:t>。本规范规定的疏散出口门为设置在建筑内各房间直接通向疏散走道的门或安全出口的门，包括疏散楼梯间、电梯间或防烟楼梯间的前室或合用前室的门等。</w:t>
      </w:r>
    </w:p>
    <w:p w14:paraId="798BA4C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疏散出口净高不应小于2.1m。</w:t>
      </w:r>
    </w:p>
    <w:p w14:paraId="5A63B6C5">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案例：某装饰工程设计的平面布置图中新增的多个房间疏散门高度设计高度为2.1m，其净高度不满足规范要求。</w:t>
      </w:r>
    </w:p>
    <w:p w14:paraId="3E67789C">
      <w:pPr>
        <w:rPr>
          <w:rFonts w:hint="eastAsia" w:ascii="宋体" w:hAnsi="宋体" w:eastAsia="宋体" w:cstheme="minorEastAsia"/>
          <w:color w:val="FF0000"/>
          <w:sz w:val="28"/>
          <w:szCs w:val="28"/>
        </w:rPr>
      </w:pPr>
    </w:p>
    <w:p w14:paraId="228AD8BB">
      <w:pPr>
        <w:rPr>
          <w:rFonts w:hint="eastAsia" w:ascii="宋体" w:hAnsi="宋体" w:eastAsia="宋体" w:cstheme="minorEastAsia"/>
          <w:color w:val="FF0000"/>
          <w:sz w:val="28"/>
          <w:szCs w:val="28"/>
        </w:rPr>
      </w:pPr>
      <w:r>
        <w:rPr>
          <w:rFonts w:ascii="宋体" w:hAnsi="宋体" w:eastAsia="宋体" w:cstheme="minorEastAsia"/>
          <w:sz w:val="28"/>
          <w:szCs w:val="28"/>
        </w:rPr>
        <w:drawing>
          <wp:anchor distT="0" distB="0" distL="114300" distR="114300" simplePos="0" relativeHeight="251679744" behindDoc="0" locked="0" layoutInCell="1" allowOverlap="1">
            <wp:simplePos x="0" y="0"/>
            <wp:positionH relativeFrom="column">
              <wp:posOffset>1180465</wp:posOffset>
            </wp:positionH>
            <wp:positionV relativeFrom="paragraph">
              <wp:posOffset>-198120</wp:posOffset>
            </wp:positionV>
            <wp:extent cx="3192145" cy="2114550"/>
            <wp:effectExtent l="0" t="0" r="8255" b="0"/>
            <wp:wrapNone/>
            <wp:docPr id="80" name="图片 2" descr="C:/Users/Administrator/Desktop/内外审后建筑打图版鑫豪KTV维修改造装饰_（5.jpg内外审后建筑打图版鑫豪KTV维修改造装饰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descr="C:/Users/Administrator/Desktop/内外审后建筑打图版鑫豪KTV维修改造装饰_（5.jpg内外审后建筑打图版鑫豪KTV维修改造装饰_（5"/>
                    <pic:cNvPicPr>
                      <a:picLocks noChangeAspect="1"/>
                    </pic:cNvPicPr>
                  </pic:nvPicPr>
                  <pic:blipFill>
                    <a:blip r:embed="rId35"/>
                    <a:srcRect l="10255" r="10255"/>
                    <a:stretch>
                      <a:fillRect/>
                    </a:stretch>
                  </pic:blipFill>
                  <pic:spPr>
                    <a:xfrm>
                      <a:off x="0" y="0"/>
                      <a:ext cx="3192145" cy="2114550"/>
                    </a:xfrm>
                    <a:prstGeom prst="rect">
                      <a:avLst/>
                    </a:prstGeom>
                    <a:noFill/>
                    <a:ln>
                      <a:noFill/>
                    </a:ln>
                  </pic:spPr>
                </pic:pic>
              </a:graphicData>
            </a:graphic>
          </wp:anchor>
        </w:drawing>
      </w:r>
    </w:p>
    <w:p w14:paraId="43A95287">
      <w:pPr>
        <w:rPr>
          <w:rFonts w:hint="eastAsia" w:ascii="宋体" w:hAnsi="宋体" w:eastAsia="宋体" w:cstheme="minorEastAsia"/>
          <w:color w:val="FF0000"/>
          <w:sz w:val="28"/>
          <w:szCs w:val="28"/>
        </w:rPr>
      </w:pPr>
    </w:p>
    <w:p w14:paraId="51CFE1A7">
      <w:pPr>
        <w:rPr>
          <w:rFonts w:hint="eastAsia" w:ascii="宋体" w:hAnsi="宋体" w:eastAsia="宋体" w:cstheme="minorEastAsia"/>
          <w:color w:val="FF0000"/>
          <w:sz w:val="28"/>
          <w:szCs w:val="28"/>
        </w:rPr>
      </w:pPr>
    </w:p>
    <w:p w14:paraId="2F10B0FD">
      <w:pPr>
        <w:rPr>
          <w:rFonts w:hint="eastAsia" w:ascii="宋体" w:hAnsi="宋体" w:eastAsia="宋体" w:cstheme="minorEastAsia"/>
          <w:color w:val="FF0000"/>
          <w:sz w:val="28"/>
          <w:szCs w:val="28"/>
        </w:rPr>
      </w:pPr>
    </w:p>
    <w:p w14:paraId="2E62B446">
      <w:pPr>
        <w:rPr>
          <w:rFonts w:hint="eastAsia" w:ascii="宋体" w:hAnsi="宋体" w:eastAsia="宋体" w:cstheme="minorEastAsia"/>
          <w:color w:val="FF0000"/>
          <w:sz w:val="28"/>
          <w:szCs w:val="28"/>
        </w:rPr>
      </w:pPr>
    </w:p>
    <w:p w14:paraId="1BAABD85">
      <w:pPr>
        <w:pStyle w:val="24"/>
        <w:ind w:left="567" w:firstLine="0" w:firstLineChars="0"/>
        <w:rPr>
          <w:rFonts w:hint="eastAsia" w:ascii="宋体" w:hAnsi="宋体" w:eastAsia="宋体" w:cstheme="minorEastAsia"/>
          <w:sz w:val="28"/>
          <w:szCs w:val="28"/>
        </w:rPr>
      </w:pPr>
      <w:r>
        <w:rPr>
          <w:rFonts w:hint="eastAsia" w:ascii="宋体" w:hAnsi="宋体" w:eastAsia="宋体" w:cstheme="minorEastAsia"/>
          <w:sz w:val="28"/>
          <w:szCs w:val="28"/>
        </w:rPr>
        <w:t>1.0.17 装饰工程设计的消火栓门暗装，饰面做法不满足规范要求。</w:t>
      </w:r>
    </w:p>
    <w:p w14:paraId="003553DD">
      <w:pPr>
        <w:widowControl/>
        <w:ind w:firstLine="560"/>
        <w:jc w:val="left"/>
        <w:rPr>
          <w:rFonts w:hint="eastAsia" w:ascii="宋体" w:hAnsi="宋体" w:eastAsia="宋体" w:cstheme="minorEastAsia"/>
          <w:sz w:val="28"/>
          <w:szCs w:val="28"/>
        </w:rPr>
      </w:pPr>
      <w:r>
        <w:rPr>
          <w:rFonts w:hint="eastAsia" w:ascii="宋体" w:hAnsi="宋体" w:eastAsia="宋体" w:cstheme="minorEastAsia"/>
          <w:sz w:val="28"/>
          <w:szCs w:val="28"/>
        </w:rPr>
        <w:t>依据：</w:t>
      </w:r>
      <w:r>
        <w:rPr>
          <w:rFonts w:hint="eastAsia" w:ascii="宋体" w:hAnsi="宋体" w:eastAsia="宋体" w:cstheme="minorEastAsia"/>
          <w:color w:val="000000"/>
          <w:kern w:val="0"/>
          <w:sz w:val="28"/>
          <w:szCs w:val="28"/>
          <w:lang w:bidi="ar"/>
        </w:rPr>
        <w:t xml:space="preserve">《建筑内部装修设计防火规范》GB50222-2017第4.0.2条：建筑内部消火栓箱门不应被装饰物遮掩，消火栓箱门四周的装修材料颜色应与消火栓箱门的颜色有明显区别或在消火栓箱门表面设置反光标志。 </w:t>
      </w:r>
    </w:p>
    <w:p w14:paraId="18DEEFC6">
      <w:pPr>
        <w:widowControl/>
        <w:ind w:firstLine="560" w:firstLineChars="200"/>
        <w:jc w:val="left"/>
        <w:rPr>
          <w:rFonts w:hint="eastAsia" w:ascii="宋体" w:hAnsi="宋体" w:eastAsia="宋体" w:cstheme="minorEastAsia"/>
          <w:sz w:val="28"/>
          <w:szCs w:val="28"/>
        </w:rPr>
      </w:pPr>
      <w:r>
        <w:rPr>
          <w:rFonts w:hint="eastAsia" w:ascii="宋体" w:hAnsi="宋体" w:eastAsia="宋体" w:cstheme="minorEastAsia"/>
          <w:color w:val="000000"/>
          <w:kern w:val="0"/>
          <w:sz w:val="28"/>
          <w:szCs w:val="28"/>
          <w:lang w:bidi="ar"/>
        </w:rPr>
        <w:t>案例：某</w:t>
      </w:r>
      <w:r>
        <w:rPr>
          <w:rFonts w:hint="eastAsia" w:ascii="宋体" w:hAnsi="宋体" w:eastAsia="宋体" w:cstheme="minorEastAsia"/>
          <w:sz w:val="28"/>
          <w:szCs w:val="28"/>
        </w:rPr>
        <w:t>装饰工程</w:t>
      </w:r>
      <w:r>
        <w:rPr>
          <w:rFonts w:hint="eastAsia" w:ascii="宋体" w:hAnsi="宋体" w:eastAsia="宋体" w:cstheme="minorEastAsia"/>
          <w:color w:val="000000"/>
          <w:kern w:val="0"/>
          <w:sz w:val="28"/>
          <w:szCs w:val="28"/>
          <w:lang w:bidi="ar"/>
        </w:rPr>
        <w:t>消火栓暗藏，且消火栓箱门与周边墙面用同一石材饰面，未在消火栓箱门表面设置反光标志</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3BA13208">
      <w:pPr>
        <w:rPr>
          <w:rFonts w:hint="eastAsia" w:ascii="宋体" w:hAnsi="宋体" w:eastAsia="宋体" w:cstheme="minorEastAsia"/>
          <w:sz w:val="28"/>
          <w:szCs w:val="28"/>
        </w:rPr>
      </w:pPr>
    </w:p>
    <w:p w14:paraId="32094078">
      <w:pPr>
        <w:rPr>
          <w:rFonts w:hint="eastAsia" w:ascii="宋体" w:hAnsi="宋体" w:eastAsia="宋体" w:cstheme="minorEastAsia"/>
          <w:sz w:val="28"/>
          <w:szCs w:val="28"/>
        </w:rPr>
      </w:pPr>
    </w:p>
    <w:p w14:paraId="27FB064D">
      <w:pPr>
        <w:rPr>
          <w:rFonts w:hint="eastAsia" w:ascii="宋体" w:hAnsi="宋体" w:eastAsia="宋体" w:cstheme="minorEastAsia"/>
          <w:sz w:val="28"/>
          <w:szCs w:val="28"/>
        </w:rPr>
      </w:pPr>
      <w:r>
        <w:rPr>
          <w:rFonts w:ascii="宋体" w:hAnsi="宋体" w:eastAsia="宋体" w:cstheme="minorEastAsia"/>
          <w:sz w:val="28"/>
          <w:szCs w:val="28"/>
        </w:rPr>
        <w:drawing>
          <wp:anchor distT="0" distB="0" distL="114300" distR="114300" simplePos="0" relativeHeight="251672576" behindDoc="1" locked="0" layoutInCell="1" allowOverlap="1">
            <wp:simplePos x="0" y="0"/>
            <wp:positionH relativeFrom="column">
              <wp:posOffset>875665</wp:posOffset>
            </wp:positionH>
            <wp:positionV relativeFrom="paragraph">
              <wp:posOffset>-360680</wp:posOffset>
            </wp:positionV>
            <wp:extent cx="3654425" cy="2419350"/>
            <wp:effectExtent l="0" t="0" r="3175" b="0"/>
            <wp:wrapNone/>
            <wp:docPr id="13759239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923990" name="图片 3"/>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654425" cy="2419350"/>
                    </a:xfrm>
                    <a:prstGeom prst="rect">
                      <a:avLst/>
                    </a:prstGeom>
                    <a:noFill/>
                    <a:ln>
                      <a:noFill/>
                    </a:ln>
                  </pic:spPr>
                </pic:pic>
              </a:graphicData>
            </a:graphic>
          </wp:anchor>
        </w:drawing>
      </w:r>
    </w:p>
    <w:p w14:paraId="642D6F1E">
      <w:pPr>
        <w:rPr>
          <w:rFonts w:hint="eastAsia" w:ascii="宋体" w:hAnsi="宋体" w:eastAsia="宋体" w:cstheme="minorEastAsia"/>
          <w:sz w:val="28"/>
          <w:szCs w:val="28"/>
        </w:rPr>
      </w:pPr>
    </w:p>
    <w:p w14:paraId="3E0CC61D">
      <w:pPr>
        <w:rPr>
          <w:rFonts w:hint="eastAsia" w:ascii="宋体" w:hAnsi="宋体" w:eastAsia="宋体" w:cstheme="minorEastAsia"/>
          <w:sz w:val="28"/>
          <w:szCs w:val="28"/>
        </w:rPr>
      </w:pPr>
    </w:p>
    <w:p w14:paraId="0B1915D0">
      <w:pPr>
        <w:rPr>
          <w:rFonts w:hint="eastAsia" w:ascii="宋体" w:hAnsi="宋体" w:eastAsia="宋体" w:cstheme="minorEastAsia"/>
          <w:sz w:val="28"/>
          <w:szCs w:val="28"/>
        </w:rPr>
      </w:pPr>
    </w:p>
    <w:p w14:paraId="5C6686C8">
      <w:pPr>
        <w:rPr>
          <w:rFonts w:hint="eastAsia" w:ascii="宋体" w:hAnsi="宋体" w:eastAsia="宋体" w:cstheme="minorEastAsia"/>
          <w:sz w:val="28"/>
          <w:szCs w:val="28"/>
        </w:rPr>
      </w:pPr>
    </w:p>
    <w:p w14:paraId="0D0DB0E3">
      <w:pPr>
        <w:pStyle w:val="24"/>
        <w:ind w:left="567" w:firstLine="0" w:firstLineChars="0"/>
        <w:rPr>
          <w:rFonts w:hint="eastAsia" w:ascii="宋体" w:hAnsi="宋体" w:eastAsia="宋体" w:cstheme="minorEastAsia"/>
          <w:sz w:val="28"/>
          <w:szCs w:val="28"/>
        </w:rPr>
      </w:pPr>
      <w:r>
        <w:rPr>
          <w:rFonts w:hint="eastAsia" w:ascii="宋体" w:hAnsi="宋体" w:eastAsia="宋体" w:cstheme="minorEastAsia"/>
          <w:sz w:val="28"/>
          <w:szCs w:val="28"/>
        </w:rPr>
        <w:t>1.0.18 装修新增的疏散出口、疏散走道的净宽度不满足规范要求。</w:t>
      </w:r>
    </w:p>
    <w:p w14:paraId="6147BE0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依据：《建筑防火通用规范》GB55037-2022第7.1.4条：疏散出口门、室外疏散楼梯的净宽度均不应小于</w:t>
      </w:r>
      <w:r>
        <w:rPr>
          <w:rFonts w:ascii="宋体" w:hAnsi="宋体" w:eastAsia="宋体" w:cstheme="minorEastAsia"/>
          <w:sz w:val="28"/>
          <w:szCs w:val="28"/>
        </w:rPr>
        <w:t>0.80m</w:t>
      </w:r>
      <w:r>
        <w:rPr>
          <w:rFonts w:hint="eastAsia" w:ascii="宋体" w:hAnsi="宋体" w:eastAsia="宋体" w:cstheme="minorEastAsia"/>
          <w:sz w:val="28"/>
          <w:szCs w:val="28"/>
        </w:rPr>
        <w:t>；疏散走道、首层疏散外门、公共建筑中的室内疏散楼梯的净宽度均不应小于</w:t>
      </w:r>
      <w:r>
        <w:rPr>
          <w:rFonts w:ascii="宋体" w:hAnsi="宋体" w:eastAsia="宋体" w:cstheme="minorEastAsia"/>
          <w:sz w:val="28"/>
          <w:szCs w:val="28"/>
        </w:rPr>
        <w:t>1.1m</w:t>
      </w:r>
      <w:r>
        <w:rPr>
          <w:rFonts w:hint="eastAsia" w:ascii="宋体" w:hAnsi="宋体" w:eastAsia="宋体" w:cstheme="minorEastAsia"/>
          <w:sz w:val="28"/>
          <w:szCs w:val="28"/>
        </w:rPr>
        <w:t>。</w:t>
      </w:r>
    </w:p>
    <w:p w14:paraId="18529413">
      <w:pPr>
        <w:pStyle w:val="24"/>
        <w:numPr>
          <w:ilvl w:val="255"/>
          <w:numId w:val="0"/>
        </w:numPr>
        <w:ind w:firstLine="560"/>
        <w:rPr>
          <w:rFonts w:hint="eastAsia" w:ascii="宋体" w:hAnsi="宋体" w:eastAsia="宋体" w:cstheme="minorEastAsia"/>
          <w:sz w:val="28"/>
          <w:szCs w:val="28"/>
          <w:u w:val="dotted"/>
        </w:rPr>
      </w:pPr>
      <w:r>
        <w:rPr>
          <w:rFonts w:hint="eastAsia" w:ascii="宋体" w:hAnsi="宋体" w:eastAsia="宋体" w:cstheme="minorEastAsia"/>
          <w:sz w:val="28"/>
          <w:szCs w:val="28"/>
        </w:rPr>
        <w:t>装饰设计新增的疏散出口门、室外疏散楼梯、疏散走道、首层疏散外门的净宽度均应满足规范要求。</w:t>
      </w:r>
    </w:p>
    <w:p w14:paraId="7F584F2B">
      <w:pPr>
        <w:pStyle w:val="24"/>
        <w:numPr>
          <w:ilvl w:val="255"/>
          <w:numId w:val="0"/>
        </w:numPr>
        <w:ind w:firstLine="560" w:firstLineChars="200"/>
        <w:rPr>
          <w:rFonts w:hint="eastAsia" w:ascii="宋体" w:hAnsi="宋体" w:eastAsia="宋体" w:cs="宋体"/>
          <w:spacing w:val="-4"/>
          <w:sz w:val="28"/>
          <w:szCs w:val="28"/>
        </w:rPr>
      </w:pPr>
      <w:r>
        <w:rPr>
          <w:rFonts w:ascii="宋体" w:hAnsi="宋体" w:eastAsia="宋体" w:cstheme="minorEastAsia"/>
          <w:sz w:val="28"/>
          <w:szCs w:val="28"/>
        </w:rPr>
        <w:drawing>
          <wp:anchor distT="0" distB="0" distL="114300" distR="114300" simplePos="0" relativeHeight="251688960" behindDoc="0" locked="0" layoutInCell="1" allowOverlap="1">
            <wp:simplePos x="0" y="0"/>
            <wp:positionH relativeFrom="margin">
              <wp:posOffset>226695</wp:posOffset>
            </wp:positionH>
            <wp:positionV relativeFrom="paragraph">
              <wp:posOffset>1242060</wp:posOffset>
            </wp:positionV>
            <wp:extent cx="5274310" cy="2257425"/>
            <wp:effectExtent l="0" t="0" r="2540" b="9525"/>
            <wp:wrapTopAndBottom/>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274310" cy="2257425"/>
                    </a:xfrm>
                    <a:prstGeom prst="rect">
                      <a:avLst/>
                    </a:prstGeom>
                  </pic:spPr>
                </pic:pic>
              </a:graphicData>
            </a:graphic>
          </wp:anchor>
        </w:drawing>
      </w:r>
      <w:r>
        <w:rPr>
          <w:rFonts w:hint="eastAsia" w:ascii="宋体" w:hAnsi="宋体" w:eastAsia="宋体" w:cstheme="minorEastAsia"/>
          <w:sz w:val="28"/>
          <w:szCs w:val="28"/>
        </w:rPr>
        <w:t>案例：某装修工程将原建筑大空间办公，改为独立的办公室、会议室等功能房间，但其新增的疏散门门洞0.80m，净宽不足0.80m</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125E8F4F">
      <w:pPr>
        <w:ind w:firstLine="560" w:firstLineChars="200"/>
        <w:rPr>
          <w:rFonts w:hint="eastAsia" w:ascii="宋体" w:hAnsi="宋体" w:eastAsia="宋体" w:cstheme="minorEastAsia"/>
          <w:sz w:val="28"/>
          <w:szCs w:val="28"/>
        </w:rPr>
      </w:pPr>
      <w:r>
        <w:rPr>
          <w:rFonts w:ascii="宋体" w:hAnsi="宋体" w:eastAsia="宋体" w:cstheme="minorEastAsia"/>
          <w:sz w:val="28"/>
          <w:szCs w:val="28"/>
        </w:rPr>
        <w:t>1.0.</w:t>
      </w:r>
      <w:r>
        <w:rPr>
          <w:rFonts w:hint="eastAsia" w:ascii="宋体" w:hAnsi="宋体" w:eastAsia="宋体" w:cstheme="minorEastAsia"/>
          <w:sz w:val="28"/>
          <w:szCs w:val="28"/>
        </w:rPr>
        <w:t>19 装修设计将首层疏散外门改为电动感应门。</w:t>
      </w:r>
    </w:p>
    <w:p w14:paraId="50AC848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依据：《建筑防火通用规范》GB55037-2022第7.1.6条：疏散出口门应为平开门或在火灾时具有平开功能的门，疏散出口门应向疏散方向开启。</w:t>
      </w:r>
    </w:p>
    <w:p w14:paraId="0564AC5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 xml:space="preserve">《建筑设计防火规范》GB50016-2014（2018年版）第6.4.11条： </w:t>
      </w:r>
      <w:r>
        <w:rPr>
          <w:rFonts w:ascii="宋体" w:hAnsi="宋体" w:eastAsia="宋体" w:cstheme="minorEastAsia"/>
          <w:sz w:val="28"/>
          <w:szCs w:val="28"/>
        </w:rPr>
        <w:t>民用建筑和厂房的疏散门，应采用向疏散方向开启的平开门，不应采用推拉门、卷帘门、吊门、转门和折叠门。</w:t>
      </w:r>
    </w:p>
    <w:p w14:paraId="0234977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案例：某装饰装修工程设计时为了追求美观效果，将建筑疏散平开外门改为了玻璃感应门，</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36A4895A">
      <w:pPr>
        <w:pStyle w:val="24"/>
        <w:numPr>
          <w:ilvl w:val="255"/>
          <w:numId w:val="0"/>
        </w:numPr>
        <w:rPr>
          <w:rFonts w:hint="eastAsia" w:ascii="宋体" w:hAnsi="宋体" w:eastAsia="宋体" w:cstheme="minorEastAsia"/>
          <w:sz w:val="28"/>
          <w:szCs w:val="28"/>
        </w:rPr>
      </w:pPr>
      <w:r>
        <w:rPr>
          <w:rFonts w:ascii="宋体" w:hAnsi="宋体" w:eastAsia="宋体" w:cstheme="minorEastAsia"/>
          <w:sz w:val="28"/>
          <w:szCs w:val="28"/>
        </w:rPr>
        <w:drawing>
          <wp:anchor distT="0" distB="0" distL="114300" distR="114300" simplePos="0" relativeHeight="251680768" behindDoc="0" locked="0" layoutInCell="1" allowOverlap="1">
            <wp:simplePos x="0" y="0"/>
            <wp:positionH relativeFrom="column">
              <wp:posOffset>513715</wp:posOffset>
            </wp:positionH>
            <wp:positionV relativeFrom="paragraph">
              <wp:posOffset>12700</wp:posOffset>
            </wp:positionV>
            <wp:extent cx="4328160" cy="2009775"/>
            <wp:effectExtent l="0" t="0" r="0" b="9525"/>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328160" cy="2009775"/>
                    </a:xfrm>
                    <a:prstGeom prst="rect">
                      <a:avLst/>
                    </a:prstGeom>
                  </pic:spPr>
                </pic:pic>
              </a:graphicData>
            </a:graphic>
          </wp:anchor>
        </w:drawing>
      </w:r>
    </w:p>
    <w:p w14:paraId="61360D99">
      <w:pPr>
        <w:pStyle w:val="24"/>
        <w:numPr>
          <w:ilvl w:val="255"/>
          <w:numId w:val="0"/>
        </w:numPr>
        <w:rPr>
          <w:rFonts w:hint="eastAsia" w:ascii="宋体" w:hAnsi="宋体" w:eastAsia="宋体" w:cstheme="minorEastAsia"/>
          <w:sz w:val="28"/>
          <w:szCs w:val="28"/>
        </w:rPr>
      </w:pPr>
    </w:p>
    <w:p w14:paraId="71B4977F">
      <w:pPr>
        <w:pStyle w:val="24"/>
        <w:numPr>
          <w:ilvl w:val="255"/>
          <w:numId w:val="0"/>
        </w:numPr>
        <w:rPr>
          <w:rFonts w:hint="eastAsia" w:ascii="宋体" w:hAnsi="宋体" w:eastAsia="宋体" w:cstheme="minorEastAsia"/>
          <w:sz w:val="28"/>
          <w:szCs w:val="28"/>
        </w:rPr>
      </w:pPr>
    </w:p>
    <w:p w14:paraId="3824D913">
      <w:pPr>
        <w:pStyle w:val="24"/>
        <w:numPr>
          <w:ilvl w:val="255"/>
          <w:numId w:val="0"/>
        </w:numPr>
        <w:rPr>
          <w:rFonts w:hint="eastAsia" w:ascii="宋体" w:hAnsi="宋体" w:eastAsia="宋体" w:cstheme="minorEastAsia"/>
          <w:sz w:val="28"/>
          <w:szCs w:val="28"/>
        </w:rPr>
      </w:pPr>
    </w:p>
    <w:p w14:paraId="78A88424">
      <w:pPr>
        <w:pStyle w:val="24"/>
        <w:numPr>
          <w:ilvl w:val="255"/>
          <w:numId w:val="0"/>
        </w:numPr>
        <w:rPr>
          <w:rFonts w:hint="eastAsia" w:ascii="宋体" w:hAnsi="宋体" w:eastAsia="宋体" w:cstheme="minorEastAsia"/>
          <w:sz w:val="28"/>
          <w:szCs w:val="28"/>
        </w:rPr>
      </w:pPr>
    </w:p>
    <w:p w14:paraId="73E25BE6">
      <w:pPr>
        <w:pStyle w:val="24"/>
        <w:numPr>
          <w:ilvl w:val="255"/>
          <w:numId w:val="0"/>
        </w:numPr>
        <w:rPr>
          <w:rFonts w:hint="eastAsia" w:ascii="宋体" w:hAnsi="宋体" w:eastAsia="宋体" w:cstheme="minorEastAsia"/>
          <w:sz w:val="28"/>
          <w:szCs w:val="28"/>
        </w:rPr>
      </w:pPr>
    </w:p>
    <w:p w14:paraId="4DEC8C73">
      <w:pPr>
        <w:pStyle w:val="24"/>
        <w:numPr>
          <w:ilvl w:val="255"/>
          <w:numId w:val="0"/>
        </w:numPr>
        <w:ind w:firstLine="3360" w:firstLineChars="1200"/>
        <w:rPr>
          <w:rFonts w:hint="eastAsia" w:ascii="宋体" w:hAnsi="宋体" w:eastAsia="宋体" w:cstheme="minorEastAsia"/>
          <w:sz w:val="28"/>
          <w:szCs w:val="28"/>
        </w:rPr>
      </w:pPr>
      <w:r>
        <w:rPr>
          <w:rFonts w:hint="eastAsia" w:ascii="宋体" w:hAnsi="宋体" w:eastAsia="宋体" w:cstheme="minorEastAsia"/>
          <w:sz w:val="28"/>
          <w:szCs w:val="28"/>
        </w:rPr>
        <w:t>原始平面图</w:t>
      </w:r>
    </w:p>
    <w:p w14:paraId="06D50866">
      <w:pPr>
        <w:pStyle w:val="24"/>
        <w:numPr>
          <w:ilvl w:val="255"/>
          <w:numId w:val="0"/>
        </w:numPr>
        <w:rPr>
          <w:rFonts w:hint="eastAsia" w:ascii="宋体" w:hAnsi="宋体" w:eastAsia="宋体" w:cstheme="minorEastAsia"/>
          <w:sz w:val="28"/>
          <w:szCs w:val="28"/>
        </w:rPr>
      </w:pPr>
      <w:r>
        <w:rPr>
          <w:rFonts w:ascii="宋体" w:hAnsi="宋体" w:eastAsia="宋体" w:cstheme="minorEastAsia"/>
          <w:sz w:val="28"/>
          <w:szCs w:val="28"/>
        </w:rPr>
        <w:drawing>
          <wp:anchor distT="0" distB="0" distL="114300" distR="114300" simplePos="0" relativeHeight="251681792" behindDoc="0" locked="0" layoutInCell="1" allowOverlap="1">
            <wp:simplePos x="0" y="0"/>
            <wp:positionH relativeFrom="column">
              <wp:posOffset>542290</wp:posOffset>
            </wp:positionH>
            <wp:positionV relativeFrom="paragraph">
              <wp:posOffset>20320</wp:posOffset>
            </wp:positionV>
            <wp:extent cx="4243070" cy="1657350"/>
            <wp:effectExtent l="0" t="0" r="5080" b="0"/>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39">
                      <a:extLst>
                        <a:ext uri="{28A0092B-C50C-407E-A947-70E740481C1C}">
                          <a14:useLocalDpi xmlns:a14="http://schemas.microsoft.com/office/drawing/2010/main" val="0"/>
                        </a:ext>
                      </a:extLst>
                    </a:blip>
                    <a:srcRect t="8608"/>
                    <a:stretch>
                      <a:fillRect/>
                    </a:stretch>
                  </pic:blipFill>
                  <pic:spPr>
                    <a:xfrm>
                      <a:off x="0" y="0"/>
                      <a:ext cx="4243070" cy="1657350"/>
                    </a:xfrm>
                    <a:prstGeom prst="rect">
                      <a:avLst/>
                    </a:prstGeom>
                  </pic:spPr>
                </pic:pic>
              </a:graphicData>
            </a:graphic>
          </wp:anchor>
        </w:drawing>
      </w:r>
    </w:p>
    <w:p w14:paraId="35AFE4C2">
      <w:pPr>
        <w:pStyle w:val="24"/>
        <w:numPr>
          <w:ilvl w:val="255"/>
          <w:numId w:val="0"/>
        </w:numPr>
        <w:rPr>
          <w:rFonts w:hint="eastAsia" w:ascii="宋体" w:hAnsi="宋体" w:eastAsia="宋体" w:cstheme="minorEastAsia"/>
          <w:sz w:val="28"/>
          <w:szCs w:val="28"/>
        </w:rPr>
      </w:pPr>
    </w:p>
    <w:p w14:paraId="37E7A6B1">
      <w:pPr>
        <w:pStyle w:val="24"/>
        <w:numPr>
          <w:ilvl w:val="255"/>
          <w:numId w:val="0"/>
        </w:numPr>
        <w:rPr>
          <w:rFonts w:hint="eastAsia" w:ascii="宋体" w:hAnsi="宋体" w:eastAsia="宋体" w:cstheme="minorEastAsia"/>
          <w:sz w:val="28"/>
          <w:szCs w:val="28"/>
        </w:rPr>
      </w:pPr>
    </w:p>
    <w:p w14:paraId="4CF2A154">
      <w:pPr>
        <w:pStyle w:val="24"/>
        <w:numPr>
          <w:ilvl w:val="255"/>
          <w:numId w:val="0"/>
        </w:numPr>
        <w:rPr>
          <w:rFonts w:hint="eastAsia" w:ascii="宋体" w:hAnsi="宋体" w:eastAsia="宋体" w:cstheme="minorEastAsia"/>
          <w:sz w:val="28"/>
          <w:szCs w:val="28"/>
        </w:rPr>
      </w:pPr>
    </w:p>
    <w:p w14:paraId="72A92FA1">
      <w:pPr>
        <w:pStyle w:val="24"/>
        <w:numPr>
          <w:ilvl w:val="255"/>
          <w:numId w:val="0"/>
        </w:numPr>
        <w:ind w:firstLine="3360" w:firstLineChars="1200"/>
        <w:rPr>
          <w:rFonts w:hint="eastAsia" w:ascii="宋体" w:hAnsi="宋体" w:eastAsia="宋体" w:cstheme="minorEastAsia"/>
          <w:sz w:val="28"/>
          <w:szCs w:val="28"/>
        </w:rPr>
      </w:pPr>
      <w:r>
        <w:rPr>
          <w:rFonts w:hint="eastAsia" w:ascii="宋体" w:hAnsi="宋体" w:eastAsia="宋体" w:cstheme="minorEastAsia"/>
          <w:sz w:val="28"/>
          <w:szCs w:val="28"/>
        </w:rPr>
        <w:t>装修平面图</w:t>
      </w:r>
    </w:p>
    <w:p w14:paraId="5F9519FD">
      <w:pPr>
        <w:rPr>
          <w:rFonts w:hint="eastAsia" w:ascii="宋体" w:hAnsi="宋体" w:eastAsia="宋体" w:cstheme="minorEastAsia"/>
          <w:sz w:val="28"/>
          <w:szCs w:val="28"/>
        </w:rPr>
      </w:pPr>
      <w:r>
        <w:rPr>
          <w:rFonts w:hint="eastAsia" w:ascii="宋体" w:hAnsi="宋体" w:eastAsia="宋体" w:cstheme="minorEastAsia"/>
          <w:sz w:val="28"/>
          <w:szCs w:val="28"/>
        </w:rPr>
        <w:t xml:space="preserve">    1.0.20 装修随意取消合用前室疏散门。</w:t>
      </w:r>
    </w:p>
    <w:p w14:paraId="7612EB54">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依据：《建筑防火通用规范》GB55037-2022第6.4.3条：防烟楼梯间及其前室的门、消防电梯前室或合用前室的门</w:t>
      </w:r>
      <w:r>
        <w:rPr>
          <w:rFonts w:ascii="宋体" w:hAnsi="宋体" w:eastAsia="宋体" w:cs="宋体"/>
          <w:color w:val="333333"/>
          <w:sz w:val="28"/>
          <w:szCs w:val="28"/>
          <w:shd w:val="clear" w:color="auto" w:fill="FFFFFF"/>
        </w:rPr>
        <w:t>的耐火性能不应低于乙级防火门的要求</w:t>
      </w:r>
      <w:r>
        <w:rPr>
          <w:rFonts w:hint="eastAsia" w:ascii="宋体" w:hAnsi="宋体" w:eastAsia="宋体" w:cstheme="minorEastAsia"/>
          <w:color w:val="333333"/>
          <w:sz w:val="28"/>
          <w:szCs w:val="28"/>
          <w:shd w:val="clear" w:color="auto" w:fill="FFFFFF"/>
        </w:rPr>
        <w:t>。</w:t>
      </w:r>
    </w:p>
    <w:p w14:paraId="4EDAEF59">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案例：某高层办公建筑公区装修时，设计为取得电梯厅开敞的效果，将电梯厅（合用前室）的防火门取消，使合用前室无法形成围合空间，防火分隔失效</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401D10A9">
      <w:pPr>
        <w:pStyle w:val="24"/>
        <w:numPr>
          <w:ilvl w:val="255"/>
          <w:numId w:val="0"/>
        </w:numPr>
        <w:rPr>
          <w:rFonts w:hint="eastAsia" w:ascii="宋体" w:hAnsi="宋体" w:eastAsia="宋体" w:cstheme="minorEastAsia"/>
          <w:sz w:val="28"/>
          <w:szCs w:val="28"/>
        </w:rPr>
      </w:pPr>
      <w:r>
        <w:rPr>
          <w:rFonts w:hint="eastAsia" w:ascii="宋体" w:hAnsi="宋体" w:eastAsia="宋体" w:cstheme="minorEastAsia"/>
          <w:kern w:val="52"/>
          <w:sz w:val="28"/>
          <w:szCs w:val="28"/>
        </w:rPr>
        <w:drawing>
          <wp:anchor distT="0" distB="0" distL="114300" distR="114300" simplePos="0" relativeHeight="251682816" behindDoc="0" locked="0" layoutInCell="1" allowOverlap="1">
            <wp:simplePos x="0" y="0"/>
            <wp:positionH relativeFrom="column">
              <wp:posOffset>701040</wp:posOffset>
            </wp:positionH>
            <wp:positionV relativeFrom="paragraph">
              <wp:posOffset>170815</wp:posOffset>
            </wp:positionV>
            <wp:extent cx="4007485" cy="2533650"/>
            <wp:effectExtent l="0" t="0" r="0" b="0"/>
            <wp:wrapNone/>
            <wp:docPr id="85" name="图片 2" descr="C:/Users/Administrator/Desktop/处理/图片4.jp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descr="C:/Users/Administrator/Desktop/处理/图片4.jpg图片4"/>
                    <pic:cNvPicPr>
                      <a:picLocks noChangeAspect="1"/>
                    </pic:cNvPicPr>
                  </pic:nvPicPr>
                  <pic:blipFill>
                    <a:blip r:embed="rId40"/>
                    <a:srcRect t="16" b="16"/>
                    <a:stretch>
                      <a:fillRect/>
                    </a:stretch>
                  </pic:blipFill>
                  <pic:spPr>
                    <a:xfrm>
                      <a:off x="0" y="0"/>
                      <a:ext cx="4007485" cy="2533650"/>
                    </a:xfrm>
                    <a:prstGeom prst="rect">
                      <a:avLst/>
                    </a:prstGeom>
                    <a:noFill/>
                    <a:ln>
                      <a:noFill/>
                    </a:ln>
                  </pic:spPr>
                </pic:pic>
              </a:graphicData>
            </a:graphic>
          </wp:anchor>
        </w:drawing>
      </w:r>
    </w:p>
    <w:p w14:paraId="3614E961">
      <w:pPr>
        <w:pStyle w:val="24"/>
        <w:numPr>
          <w:ilvl w:val="255"/>
          <w:numId w:val="0"/>
        </w:numPr>
        <w:rPr>
          <w:rFonts w:hint="eastAsia" w:ascii="宋体" w:hAnsi="宋体" w:eastAsia="宋体" w:cstheme="minorEastAsia"/>
          <w:sz w:val="28"/>
          <w:szCs w:val="28"/>
        </w:rPr>
      </w:pPr>
    </w:p>
    <w:p w14:paraId="5B49FABD">
      <w:pPr>
        <w:pStyle w:val="24"/>
        <w:numPr>
          <w:ilvl w:val="255"/>
          <w:numId w:val="0"/>
        </w:numPr>
        <w:rPr>
          <w:rFonts w:hint="eastAsia" w:ascii="宋体" w:hAnsi="宋体" w:eastAsia="宋体" w:cstheme="minorEastAsia"/>
          <w:sz w:val="28"/>
          <w:szCs w:val="28"/>
        </w:rPr>
      </w:pPr>
    </w:p>
    <w:p w14:paraId="40250FF5">
      <w:pPr>
        <w:pStyle w:val="24"/>
        <w:numPr>
          <w:ilvl w:val="255"/>
          <w:numId w:val="0"/>
        </w:numPr>
        <w:rPr>
          <w:rFonts w:hint="eastAsia" w:ascii="宋体" w:hAnsi="宋体" w:eastAsia="宋体" w:cstheme="minorEastAsia"/>
          <w:sz w:val="28"/>
          <w:szCs w:val="28"/>
        </w:rPr>
      </w:pPr>
    </w:p>
    <w:p w14:paraId="68E20809">
      <w:pPr>
        <w:pStyle w:val="24"/>
        <w:numPr>
          <w:ilvl w:val="255"/>
          <w:numId w:val="0"/>
        </w:numPr>
        <w:rPr>
          <w:rFonts w:hint="eastAsia" w:ascii="宋体" w:hAnsi="宋体" w:eastAsia="宋体" w:cstheme="minorEastAsia"/>
          <w:sz w:val="28"/>
          <w:szCs w:val="28"/>
        </w:rPr>
      </w:pPr>
    </w:p>
    <w:p w14:paraId="425B3FE6">
      <w:pPr>
        <w:pStyle w:val="24"/>
        <w:numPr>
          <w:ilvl w:val="255"/>
          <w:numId w:val="0"/>
        </w:numPr>
        <w:rPr>
          <w:rFonts w:hint="eastAsia" w:ascii="宋体" w:hAnsi="宋体" w:eastAsia="宋体" w:cstheme="minorEastAsia"/>
          <w:sz w:val="28"/>
          <w:szCs w:val="28"/>
        </w:rPr>
      </w:pPr>
    </w:p>
    <w:p w14:paraId="41AF3358">
      <w:pPr>
        <w:pStyle w:val="24"/>
        <w:numPr>
          <w:ilvl w:val="255"/>
          <w:numId w:val="0"/>
        </w:numPr>
        <w:rPr>
          <w:rFonts w:hint="eastAsia" w:ascii="宋体" w:hAnsi="宋体" w:eastAsia="宋体" w:cstheme="minorEastAsia"/>
          <w:sz w:val="28"/>
          <w:szCs w:val="28"/>
        </w:rPr>
      </w:pPr>
    </w:p>
    <w:p w14:paraId="4A9476B4">
      <w:pPr>
        <w:ind w:firstLine="840" w:firstLineChars="300"/>
        <w:rPr>
          <w:rFonts w:hint="eastAsia" w:ascii="宋体" w:hAnsi="宋体" w:eastAsia="宋体"/>
          <w:szCs w:val="24"/>
        </w:rPr>
      </w:pPr>
      <w:r>
        <w:rPr>
          <w:rFonts w:ascii="宋体" w:hAnsi="宋体" w:eastAsia="宋体" w:cstheme="minorEastAsia"/>
          <w:sz w:val="28"/>
          <w:szCs w:val="28"/>
        </w:rPr>
        <w:t>1.0.</w:t>
      </w:r>
      <w:r>
        <w:rPr>
          <w:rFonts w:hint="eastAsia" w:ascii="宋体" w:hAnsi="宋体" w:eastAsia="宋体" w:cstheme="minorEastAsia"/>
          <w:sz w:val="28"/>
          <w:szCs w:val="28"/>
        </w:rPr>
        <w:t>21 装修在合用前室内新增房间，且房间疏散门直接开向消防电梯前室或合用前室。</w:t>
      </w:r>
    </w:p>
    <w:p w14:paraId="3C9AC6CF">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 xml:space="preserve">55037-2022 </w:t>
      </w:r>
      <w:r>
        <w:rPr>
          <w:rFonts w:hint="eastAsia" w:ascii="宋体" w:hAnsi="宋体" w:eastAsia="宋体" w:cstheme="minorEastAsia"/>
          <w:sz w:val="28"/>
          <w:szCs w:val="28"/>
        </w:rPr>
        <w:t>第</w:t>
      </w:r>
      <w:r>
        <w:rPr>
          <w:rFonts w:ascii="宋体" w:hAnsi="宋体" w:eastAsia="宋体" w:cstheme="minorEastAsia"/>
          <w:sz w:val="28"/>
          <w:szCs w:val="28"/>
        </w:rPr>
        <w:t>7.1.8</w:t>
      </w:r>
      <w:r>
        <w:rPr>
          <w:rFonts w:hint="eastAsia" w:ascii="宋体" w:hAnsi="宋体" w:eastAsia="宋体" w:cstheme="minorEastAsia"/>
          <w:sz w:val="28"/>
          <w:szCs w:val="28"/>
        </w:rPr>
        <w:t>-5条：除疏散楼梯间及其前室的出入口、外窗和送风口，住宅建筑疏散楼梯间前室或合用前室内的管道井检查门外，疏散楼梯间及其前室或合用前室内的墙上不应设置其他门、窗等开口。</w:t>
      </w:r>
    </w:p>
    <w:p w14:paraId="18C9D0DD">
      <w:pPr>
        <w:widowControl/>
        <w:ind w:firstLine="560" w:firstLineChars="200"/>
        <w:jc w:val="left"/>
        <w:rPr>
          <w:rFonts w:hint="eastAsia" w:ascii="宋体" w:hAnsi="宋体" w:eastAsia="宋体" w:cstheme="minorEastAsia"/>
          <w:sz w:val="28"/>
          <w:szCs w:val="28"/>
        </w:rPr>
      </w:pPr>
      <w:r>
        <w:rPr>
          <w:rFonts w:hint="eastAsia" w:ascii="宋体" w:hAnsi="宋体" w:eastAsia="宋体" w:cstheme="minorEastAsia"/>
          <w:sz w:val="28"/>
          <w:szCs w:val="28"/>
        </w:rPr>
        <w:t>案例：</w:t>
      </w:r>
      <w:r>
        <w:rPr>
          <w:rFonts w:hint="eastAsia" w:ascii="宋体" w:hAnsi="宋体" w:eastAsia="宋体" w:cstheme="minorEastAsia"/>
          <w:color w:val="000000"/>
          <w:kern w:val="0"/>
          <w:sz w:val="28"/>
          <w:szCs w:val="28"/>
          <w:lang w:bidi="ar"/>
        </w:rPr>
        <w:t>某酒店装修工程新增茶水间且门直接开向合用前室</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115E63B6">
      <w:pPr>
        <w:pStyle w:val="24"/>
        <w:numPr>
          <w:ilvl w:val="255"/>
          <w:numId w:val="0"/>
        </w:numPr>
        <w:ind w:firstLine="840" w:firstLineChars="300"/>
        <w:rPr>
          <w:rFonts w:hint="eastAsia" w:ascii="宋体" w:hAnsi="宋体" w:eastAsia="宋体" w:cstheme="minorEastAsia"/>
          <w:color w:val="FF0000"/>
          <w:sz w:val="28"/>
          <w:szCs w:val="28"/>
        </w:rPr>
      </w:pPr>
      <w:r>
        <w:rPr>
          <w:rFonts w:ascii="宋体" w:hAnsi="宋体" w:eastAsia="宋体" w:cstheme="minorEastAsia"/>
          <w:sz w:val="28"/>
          <w:szCs w:val="28"/>
        </w:rPr>
        <w:drawing>
          <wp:inline distT="0" distB="0" distL="114300" distR="114300">
            <wp:extent cx="4361180" cy="3829050"/>
            <wp:effectExtent l="0" t="0" r="1270" b="0"/>
            <wp:docPr id="12022229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22923" name="图片 2"/>
                    <pic:cNvPicPr>
                      <a:picLocks noChangeAspect="1"/>
                    </pic:cNvPicPr>
                  </pic:nvPicPr>
                  <pic:blipFill>
                    <a:blip r:embed="rId41"/>
                    <a:stretch>
                      <a:fillRect/>
                    </a:stretch>
                  </pic:blipFill>
                  <pic:spPr>
                    <a:xfrm>
                      <a:off x="0" y="0"/>
                      <a:ext cx="4361180" cy="3829050"/>
                    </a:xfrm>
                    <a:prstGeom prst="rect">
                      <a:avLst/>
                    </a:prstGeom>
                    <a:noFill/>
                    <a:ln>
                      <a:noFill/>
                    </a:ln>
                  </pic:spPr>
                </pic:pic>
              </a:graphicData>
            </a:graphic>
          </wp:inline>
        </w:drawing>
      </w:r>
    </w:p>
    <w:p w14:paraId="185F27FA">
      <w:pPr>
        <w:ind w:firstLine="560" w:firstLineChars="200"/>
        <w:rPr>
          <w:rFonts w:hint="eastAsia" w:ascii="宋体" w:hAnsi="宋体" w:eastAsia="宋体" w:cstheme="minorEastAsia"/>
          <w:sz w:val="28"/>
          <w:szCs w:val="28"/>
        </w:rPr>
      </w:pPr>
    </w:p>
    <w:p w14:paraId="19C0072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1.0.22 装修擅自封堵原建筑安全出口，或改变原建筑对外安全出口的位置，导致楼梯间在首层无法直通室外。</w:t>
      </w:r>
    </w:p>
    <w:p w14:paraId="76DEA1C1">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 xml:space="preserve">依据：《建筑设计防火规范》GB50016-2014（2018年版）第5.5.17条 </w:t>
      </w:r>
      <w:r>
        <w:rPr>
          <w:rFonts w:ascii="宋体" w:hAnsi="宋体" w:eastAsia="宋体" w:cstheme="minorEastAsia"/>
          <w:sz w:val="28"/>
          <w:szCs w:val="28"/>
        </w:rPr>
        <w:t xml:space="preserve"> </w:t>
      </w:r>
      <w:r>
        <w:rPr>
          <w:rFonts w:hint="eastAsia" w:ascii="宋体" w:hAnsi="宋体" w:eastAsia="宋体" w:cstheme="minorEastAsia"/>
          <w:sz w:val="28"/>
          <w:szCs w:val="28"/>
        </w:rPr>
        <w:t>楼梯间应在首层直通室外，确有困难时，可在首层采用扩大的封闭楼梯间或防烟楼梯间前室。</w:t>
      </w:r>
    </w:p>
    <w:p w14:paraId="55F0535C">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案例：某项目为达到装饰后使用空间的最大化，装修设计单位擅自封堵原建筑安全出口，导致原直通室外的疏散楼梯间不能直通室外</w:t>
      </w:r>
      <w:r>
        <w:rPr>
          <w:rFonts w:hint="eastAsia" w:ascii="宋体" w:hAnsi="宋体" w:eastAsia="宋体" w:cs="宋体"/>
          <w:color w:val="000000"/>
          <w:sz w:val="28"/>
        </w:rPr>
        <w:t>，不满足</w:t>
      </w:r>
      <w:r>
        <w:rPr>
          <w:rFonts w:ascii="宋体" w:hAnsi="宋体" w:eastAsia="宋体" w:cstheme="minorEastAsia"/>
          <w:color w:val="FF0000"/>
          <w:sz w:val="28"/>
          <w:szCs w:val="28"/>
        </w:rPr>
        <w:drawing>
          <wp:anchor distT="0" distB="0" distL="114300" distR="114300" simplePos="0" relativeHeight="251683840" behindDoc="0" locked="0" layoutInCell="1" allowOverlap="1">
            <wp:simplePos x="0" y="0"/>
            <wp:positionH relativeFrom="margin">
              <wp:posOffset>436245</wp:posOffset>
            </wp:positionH>
            <wp:positionV relativeFrom="paragraph">
              <wp:posOffset>515620</wp:posOffset>
            </wp:positionV>
            <wp:extent cx="4703445" cy="2731770"/>
            <wp:effectExtent l="0" t="0" r="1905" b="0"/>
            <wp:wrapTopAndBottom/>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703445" cy="2731770"/>
                    </a:xfrm>
                    <a:prstGeom prst="rect">
                      <a:avLst/>
                    </a:prstGeom>
                  </pic:spPr>
                </pic:pic>
              </a:graphicData>
            </a:graphic>
          </wp:anchor>
        </w:drawing>
      </w:r>
      <w:r>
        <w:rPr>
          <w:rFonts w:hint="eastAsia" w:ascii="宋体" w:hAnsi="宋体" w:eastAsia="宋体" w:cs="宋体"/>
          <w:color w:val="000000"/>
          <w:sz w:val="28"/>
        </w:rPr>
        <w:t>上述规范要求</w:t>
      </w:r>
      <w:r>
        <w:rPr>
          <w:rFonts w:hint="eastAsia" w:ascii="宋体" w:hAnsi="宋体" w:eastAsia="宋体" w:cs="宋体"/>
          <w:spacing w:val="-4"/>
          <w:sz w:val="28"/>
          <w:szCs w:val="28"/>
        </w:rPr>
        <w:t>。</w:t>
      </w:r>
    </w:p>
    <w:p w14:paraId="7FBAE023">
      <w:pPr>
        <w:pStyle w:val="24"/>
        <w:numPr>
          <w:ilvl w:val="255"/>
          <w:numId w:val="0"/>
        </w:numPr>
        <w:ind w:firstLine="3640" w:firstLineChars="1300"/>
        <w:rPr>
          <w:rFonts w:hint="eastAsia" w:ascii="宋体" w:hAnsi="宋体" w:eastAsia="宋体" w:cstheme="minorEastAsia"/>
          <w:sz w:val="28"/>
          <w:szCs w:val="28"/>
        </w:rPr>
      </w:pPr>
      <w:r>
        <w:rPr>
          <w:rFonts w:ascii="宋体" w:hAnsi="宋体" w:eastAsia="宋体" w:cstheme="minorEastAsia"/>
          <w:color w:val="FF0000"/>
          <w:sz w:val="28"/>
          <w:szCs w:val="28"/>
        </w:rPr>
        <w:drawing>
          <wp:anchor distT="0" distB="0" distL="114300" distR="114300" simplePos="0" relativeHeight="251684864" behindDoc="0" locked="0" layoutInCell="1" allowOverlap="1">
            <wp:simplePos x="0" y="0"/>
            <wp:positionH relativeFrom="column">
              <wp:posOffset>512445</wp:posOffset>
            </wp:positionH>
            <wp:positionV relativeFrom="paragraph">
              <wp:posOffset>3355975</wp:posOffset>
            </wp:positionV>
            <wp:extent cx="4648835" cy="2753360"/>
            <wp:effectExtent l="0" t="0" r="18415" b="8890"/>
            <wp:wrapTopAndBottom/>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648835" cy="2753360"/>
                    </a:xfrm>
                    <a:prstGeom prst="rect">
                      <a:avLst/>
                    </a:prstGeom>
                  </pic:spPr>
                </pic:pic>
              </a:graphicData>
            </a:graphic>
          </wp:anchor>
        </w:drawing>
      </w:r>
      <w:r>
        <w:rPr>
          <w:rFonts w:hint="eastAsia" w:ascii="宋体" w:hAnsi="宋体" w:eastAsia="宋体" w:cstheme="minorEastAsia"/>
          <w:sz w:val="28"/>
          <w:szCs w:val="28"/>
        </w:rPr>
        <w:t>原建平面图</w:t>
      </w:r>
    </w:p>
    <w:p w14:paraId="3F359840">
      <w:pPr>
        <w:pStyle w:val="24"/>
        <w:numPr>
          <w:ilvl w:val="255"/>
          <w:numId w:val="0"/>
        </w:numPr>
        <w:jc w:val="center"/>
        <w:rPr>
          <w:rFonts w:hint="eastAsia" w:ascii="宋体" w:hAnsi="宋体" w:eastAsia="宋体" w:cstheme="minorEastAsia"/>
          <w:color w:val="FF0000"/>
          <w:sz w:val="28"/>
          <w:szCs w:val="28"/>
        </w:rPr>
      </w:pPr>
      <w:r>
        <w:rPr>
          <w:rFonts w:hint="eastAsia" w:ascii="宋体" w:hAnsi="宋体" w:eastAsia="宋体" w:cstheme="minorEastAsia"/>
          <w:sz w:val="28"/>
          <w:szCs w:val="28"/>
        </w:rPr>
        <w:t>装修平面图</w:t>
      </w:r>
    </w:p>
    <w:p w14:paraId="061E9AB5">
      <w:pPr>
        <w:pStyle w:val="24"/>
        <w:numPr>
          <w:ilvl w:val="255"/>
          <w:numId w:val="0"/>
        </w:numPr>
        <w:rPr>
          <w:rFonts w:hint="eastAsia" w:ascii="宋体" w:hAnsi="宋体" w:eastAsia="宋体" w:cstheme="minorEastAsia"/>
          <w:sz w:val="28"/>
          <w:szCs w:val="28"/>
        </w:rPr>
      </w:pPr>
    </w:p>
    <w:p w14:paraId="5F21C1DB">
      <w:pPr>
        <w:pStyle w:val="24"/>
        <w:ind w:left="567" w:firstLine="0" w:firstLineChars="0"/>
        <w:rPr>
          <w:rFonts w:hint="eastAsia" w:ascii="宋体" w:hAnsi="宋体" w:eastAsia="宋体" w:cstheme="minorEastAsia"/>
          <w:sz w:val="28"/>
          <w:szCs w:val="28"/>
        </w:rPr>
      </w:pPr>
      <w:r>
        <w:rPr>
          <w:rFonts w:hint="eastAsia" w:ascii="宋体" w:hAnsi="宋体" w:eastAsia="宋体" w:cstheme="minorEastAsia"/>
          <w:sz w:val="28"/>
          <w:szCs w:val="28"/>
        </w:rPr>
        <w:t>1.0.23 装修造型或家具布置影响消防救援窗口，不满足规范要求。</w:t>
      </w:r>
    </w:p>
    <w:p w14:paraId="2D16DFED">
      <w:pPr>
        <w:widowControl/>
        <w:ind w:firstLine="560" w:firstLineChars="200"/>
        <w:jc w:val="left"/>
        <w:rPr>
          <w:rFonts w:hint="eastAsia" w:ascii="宋体" w:hAnsi="宋体" w:eastAsia="宋体" w:cstheme="minorEastAsia"/>
          <w:sz w:val="28"/>
          <w:szCs w:val="28"/>
        </w:rPr>
      </w:pPr>
      <w:r>
        <w:rPr>
          <w:rFonts w:hint="eastAsia" w:ascii="宋体" w:hAnsi="宋体" w:eastAsia="宋体" w:cstheme="minorEastAsia"/>
          <w:sz w:val="28"/>
          <w:szCs w:val="28"/>
        </w:rPr>
        <w:t>依据：</w:t>
      </w:r>
      <w:r>
        <w:rPr>
          <w:rFonts w:hint="eastAsia" w:ascii="宋体" w:hAnsi="宋体" w:eastAsia="宋体" w:cstheme="minorEastAsia"/>
          <w:color w:val="000000"/>
          <w:kern w:val="0"/>
          <w:sz w:val="28"/>
          <w:szCs w:val="28"/>
          <w:lang w:bidi="ar"/>
        </w:rPr>
        <w:t>《建筑防火通用规范》GB55037-2022第6.5.1条：</w:t>
      </w:r>
      <w:r>
        <w:rPr>
          <w:rFonts w:ascii="宋体" w:hAnsi="宋体" w:eastAsia="宋体" w:cstheme="minorEastAsia"/>
          <w:color w:val="000000"/>
          <w:kern w:val="0"/>
          <w:sz w:val="28"/>
          <w:szCs w:val="28"/>
          <w:lang w:bidi="ar"/>
        </w:rPr>
        <w:t>建筑内部装修不应擅自减少、改动、拆除、遮挡消防设施或器材及其标识、疏散指示标志、疏散出口</w:t>
      </w:r>
      <w:r>
        <w:rPr>
          <w:rFonts w:ascii="宋体" w:hAnsi="宋体" w:eastAsia="宋体" w:cstheme="minorEastAsia"/>
          <w:sz w:val="28"/>
          <w:szCs w:val="28"/>
        </w:rPr>
        <w:t>、疏散走道或疏散横通道</w:t>
      </w:r>
      <w:r>
        <w:rPr>
          <w:rFonts w:hint="eastAsia" w:ascii="宋体" w:hAnsi="宋体" w:eastAsia="宋体" w:cstheme="minorEastAsia"/>
          <w:sz w:val="28"/>
          <w:szCs w:val="28"/>
        </w:rPr>
        <w:t>。</w:t>
      </w:r>
    </w:p>
    <w:p w14:paraId="61995A1E">
      <w:pPr>
        <w:widowControl/>
        <w:ind w:firstLine="560" w:firstLineChars="200"/>
        <w:jc w:val="left"/>
        <w:rPr>
          <w:rFonts w:hint="eastAsia" w:ascii="宋体" w:hAnsi="宋体" w:eastAsia="宋体" w:cstheme="minorEastAsia"/>
          <w:sz w:val="28"/>
          <w:szCs w:val="28"/>
        </w:rPr>
      </w:pPr>
      <w:r>
        <w:rPr>
          <w:rFonts w:hint="eastAsia" w:ascii="宋体" w:hAnsi="宋体" w:eastAsia="宋体" w:cstheme="minorEastAsia"/>
          <w:sz w:val="28"/>
          <w:szCs w:val="28"/>
        </w:rPr>
        <w:t>《建筑防火通用规范》GB</w:t>
      </w:r>
      <w:r>
        <w:rPr>
          <w:rFonts w:ascii="宋体" w:hAnsi="宋体" w:eastAsia="宋体" w:cstheme="minorEastAsia"/>
          <w:sz w:val="28"/>
          <w:szCs w:val="28"/>
        </w:rPr>
        <w:t>55037-2022</w:t>
      </w:r>
      <w:r>
        <w:rPr>
          <w:rFonts w:hint="eastAsia" w:ascii="宋体" w:hAnsi="宋体" w:eastAsia="宋体" w:cstheme="minorEastAsia"/>
          <w:sz w:val="28"/>
          <w:szCs w:val="28"/>
        </w:rPr>
        <w:t>第</w:t>
      </w:r>
      <w:r>
        <w:rPr>
          <w:rFonts w:ascii="宋体" w:hAnsi="宋体" w:eastAsia="宋体" w:cstheme="minorEastAsia"/>
          <w:sz w:val="28"/>
          <w:szCs w:val="28"/>
        </w:rPr>
        <w:t>2.2.3</w:t>
      </w:r>
      <w:r>
        <w:rPr>
          <w:rFonts w:hint="eastAsia" w:ascii="宋体" w:hAnsi="宋体" w:eastAsia="宋体" w:cstheme="minorEastAsia"/>
          <w:sz w:val="28"/>
          <w:szCs w:val="28"/>
        </w:rPr>
        <w:t>条 除有特殊要求的建筑和甲类厂房可不设置消防救援口外，在建筑的外墙上应设置便于消防救援人员出入的消防救援口，并应符合下列规定：</w:t>
      </w:r>
    </w:p>
    <w:p w14:paraId="532314A1">
      <w:pPr>
        <w:widowControl/>
        <w:ind w:firstLine="560" w:firstLineChars="200"/>
        <w:jc w:val="left"/>
        <w:rPr>
          <w:rFonts w:hint="eastAsia" w:ascii="宋体" w:hAnsi="宋体" w:eastAsia="宋体" w:cstheme="minorEastAsia"/>
          <w:sz w:val="28"/>
          <w:szCs w:val="28"/>
        </w:rPr>
      </w:pPr>
      <w:r>
        <w:rPr>
          <w:rFonts w:ascii="宋体" w:hAnsi="宋体" w:eastAsia="宋体" w:cstheme="minorEastAsia"/>
          <w:sz w:val="28"/>
          <w:szCs w:val="28"/>
        </w:rPr>
        <w:t xml:space="preserve">3 </w:t>
      </w:r>
      <w:r>
        <w:rPr>
          <w:rFonts w:hint="eastAsia" w:ascii="宋体" w:hAnsi="宋体" w:eastAsia="宋体" w:cstheme="minorEastAsia"/>
          <w:sz w:val="28"/>
          <w:szCs w:val="28"/>
        </w:rPr>
        <w:t>消防救援口的净高度和净宽度均不应小于</w:t>
      </w:r>
      <w:r>
        <w:rPr>
          <w:rFonts w:ascii="宋体" w:hAnsi="宋体" w:eastAsia="宋体" w:cstheme="minorEastAsia"/>
          <w:sz w:val="28"/>
          <w:szCs w:val="28"/>
        </w:rPr>
        <w:t>1.0m</w:t>
      </w:r>
      <w:r>
        <w:rPr>
          <w:rFonts w:hint="eastAsia" w:ascii="宋体" w:hAnsi="宋体" w:eastAsia="宋体" w:cstheme="minorEastAsia"/>
          <w:sz w:val="28"/>
          <w:szCs w:val="28"/>
        </w:rPr>
        <w:t>；</w:t>
      </w:r>
    </w:p>
    <w:p w14:paraId="03DB3544">
      <w:pPr>
        <w:widowControl/>
        <w:ind w:firstLine="560" w:firstLineChars="200"/>
        <w:jc w:val="left"/>
        <w:rPr>
          <w:rFonts w:hint="eastAsia" w:ascii="宋体" w:hAnsi="宋体" w:eastAsia="宋体" w:cstheme="minorEastAsia"/>
          <w:sz w:val="28"/>
          <w:szCs w:val="28"/>
        </w:rPr>
      </w:pPr>
      <w:r>
        <w:rPr>
          <w:rFonts w:ascii="宋体" w:hAnsi="宋体" w:eastAsia="宋体" w:cstheme="minorEastAsia"/>
          <w:sz w:val="28"/>
          <w:szCs w:val="28"/>
        </w:rPr>
        <w:t xml:space="preserve">5 </w:t>
      </w:r>
      <w:r>
        <w:rPr>
          <w:rFonts w:hint="eastAsia" w:ascii="宋体" w:hAnsi="宋体" w:eastAsia="宋体" w:cstheme="minorEastAsia"/>
          <w:sz w:val="28"/>
          <w:szCs w:val="28"/>
        </w:rPr>
        <w:t>消防救援口应设置可在室内和室外识别的永久性明显标志。</w:t>
      </w:r>
    </w:p>
    <w:p w14:paraId="0B971DD7">
      <w:pPr>
        <w:ind w:firstLine="560" w:firstLineChars="200"/>
        <w:rPr>
          <w:rFonts w:hint="eastAsia" w:ascii="宋体" w:hAnsi="宋体" w:eastAsia="宋体" w:cstheme="minorEastAsia"/>
          <w:sz w:val="28"/>
          <w:szCs w:val="28"/>
        </w:rPr>
      </w:pPr>
      <w:r>
        <w:rPr>
          <w:rFonts w:ascii="宋体" w:hAnsi="宋体" w:eastAsia="宋体" w:cstheme="minorEastAsia"/>
          <w:sz w:val="28"/>
          <w:szCs w:val="28"/>
        </w:rPr>
        <w:drawing>
          <wp:anchor distT="0" distB="0" distL="0" distR="0" simplePos="0" relativeHeight="251686912" behindDoc="0" locked="0" layoutInCell="1" allowOverlap="1">
            <wp:simplePos x="0" y="0"/>
            <wp:positionH relativeFrom="margin">
              <wp:align>center</wp:align>
            </wp:positionH>
            <wp:positionV relativeFrom="paragraph">
              <wp:posOffset>788035</wp:posOffset>
            </wp:positionV>
            <wp:extent cx="4414520" cy="3288030"/>
            <wp:effectExtent l="0" t="0" r="5080" b="7620"/>
            <wp:wrapTopAndBottom/>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414520" cy="3288030"/>
                    </a:xfrm>
                    <a:prstGeom prst="rect">
                      <a:avLst/>
                    </a:prstGeom>
                  </pic:spPr>
                </pic:pic>
              </a:graphicData>
            </a:graphic>
          </wp:anchor>
        </w:drawing>
      </w:r>
      <w:r>
        <w:rPr>
          <w:rFonts w:hint="eastAsia" w:ascii="宋体" w:hAnsi="宋体" w:eastAsia="宋体" w:cstheme="minorEastAsia"/>
          <w:sz w:val="28"/>
          <w:szCs w:val="28"/>
        </w:rPr>
        <w:t>案例：某项目室内装修增加了隔墙、栏杆、固定家具等阻挡原消防救窗口</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3F60740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1.0.24 装修在疏散走道上随意设门或设置功能房间。</w:t>
      </w:r>
    </w:p>
    <w:p w14:paraId="72512AB4">
      <w:pPr>
        <w:pStyle w:val="24"/>
        <w:tabs>
          <w:tab w:val="right" w:pos="8306"/>
        </w:tabs>
        <w:ind w:firstLine="56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55037-2022</w:t>
      </w:r>
      <w:r>
        <w:rPr>
          <w:rFonts w:hint="eastAsia" w:ascii="宋体" w:hAnsi="宋体" w:eastAsia="宋体" w:cstheme="minorEastAsia"/>
          <w:sz w:val="28"/>
          <w:szCs w:val="28"/>
        </w:rPr>
        <w:t>第</w:t>
      </w:r>
      <w:r>
        <w:rPr>
          <w:rFonts w:ascii="宋体" w:hAnsi="宋体" w:eastAsia="宋体" w:cstheme="minorEastAsia"/>
          <w:sz w:val="28"/>
          <w:szCs w:val="28"/>
        </w:rPr>
        <w:t>6.5.1</w:t>
      </w:r>
      <w:r>
        <w:rPr>
          <w:rFonts w:hint="eastAsia" w:ascii="宋体" w:hAnsi="宋体" w:eastAsia="宋体" w:cstheme="minorEastAsia"/>
          <w:sz w:val="28"/>
          <w:szCs w:val="28"/>
        </w:rPr>
        <w:t>条：建筑内部装修不应擅自减少、改动、拆除、遮挡消防设施或器材及其标识、疏散指示标志、疏散出口、疏散走道或疏散横通道。</w:t>
      </w:r>
    </w:p>
    <w:p w14:paraId="2EE031A1">
      <w:pPr>
        <w:tabs>
          <w:tab w:val="right" w:pos="8306"/>
        </w:tabs>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案例1：某装修设计在原建筑平面疏散通道上加设推拉门、感应门等不能作为疏散使用的门，</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69DCB93D">
      <w:pPr>
        <w:pStyle w:val="24"/>
        <w:numPr>
          <w:ilvl w:val="255"/>
          <w:numId w:val="0"/>
        </w:numPr>
        <w:ind w:firstLine="1120" w:firstLineChars="400"/>
        <w:rPr>
          <w:rFonts w:hint="eastAsia" w:ascii="宋体" w:hAnsi="宋体" w:eastAsia="宋体" w:cstheme="minorEastAsia"/>
          <w:sz w:val="28"/>
          <w:szCs w:val="28"/>
        </w:rPr>
      </w:pPr>
      <w:r>
        <w:rPr>
          <w:rFonts w:hint="eastAsia" w:ascii="宋体" w:hAnsi="宋体" w:eastAsia="宋体" w:cstheme="minorEastAsia"/>
          <w:sz w:val="28"/>
          <w:szCs w:val="28"/>
        </w:rPr>
        <w:drawing>
          <wp:inline distT="0" distB="0" distL="0" distR="0">
            <wp:extent cx="3727450" cy="1996440"/>
            <wp:effectExtent l="0" t="0" r="6350" b="381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727450" cy="1996440"/>
                    </a:xfrm>
                    <a:prstGeom prst="rect">
                      <a:avLst/>
                    </a:prstGeom>
                  </pic:spPr>
                </pic:pic>
              </a:graphicData>
            </a:graphic>
          </wp:inline>
        </w:drawing>
      </w:r>
    </w:p>
    <w:p w14:paraId="53BB4B80">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color w:val="FF0000"/>
          <w:sz w:val="28"/>
          <w:szCs w:val="28"/>
        </w:rPr>
        <w:drawing>
          <wp:anchor distT="0" distB="0" distL="114300" distR="114300" simplePos="0" relativeHeight="251671552" behindDoc="0" locked="0" layoutInCell="1" allowOverlap="1">
            <wp:simplePos x="0" y="0"/>
            <wp:positionH relativeFrom="margin">
              <wp:posOffset>1374140</wp:posOffset>
            </wp:positionH>
            <wp:positionV relativeFrom="margin">
              <wp:posOffset>4415790</wp:posOffset>
            </wp:positionV>
            <wp:extent cx="3566160" cy="2877820"/>
            <wp:effectExtent l="0" t="0" r="15240" b="17780"/>
            <wp:wrapNone/>
            <wp:docPr id="2090181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81768" name="图片 1"/>
                    <pic:cNvPicPr>
                      <a:picLocks noChangeAspect="1" noChangeArrowheads="1"/>
                    </pic:cNvPicPr>
                  </pic:nvPicPr>
                  <pic:blipFill>
                    <a:blip r:embed="rId46"/>
                    <a:srcRect b="19288"/>
                    <a:stretch>
                      <a:fillRect/>
                    </a:stretch>
                  </pic:blipFill>
                  <pic:spPr>
                    <a:xfrm>
                      <a:off x="0" y="0"/>
                      <a:ext cx="3566160" cy="2877820"/>
                    </a:xfrm>
                    <a:prstGeom prst="rect">
                      <a:avLst/>
                    </a:prstGeom>
                    <a:noFill/>
                  </pic:spPr>
                </pic:pic>
              </a:graphicData>
            </a:graphic>
          </wp:anchor>
        </w:drawing>
      </w:r>
      <w:r>
        <w:rPr>
          <w:rFonts w:hint="eastAsia" w:ascii="宋体" w:hAnsi="宋体" w:eastAsia="宋体" w:cstheme="minorEastAsia"/>
          <w:sz w:val="28"/>
          <w:szCs w:val="28"/>
        </w:rPr>
        <w:t>案例2：某装修设计在原建筑平面疏散走道上布置功能房间，</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534C4E62">
      <w:pPr>
        <w:pStyle w:val="24"/>
        <w:numPr>
          <w:ilvl w:val="255"/>
          <w:numId w:val="0"/>
        </w:numPr>
        <w:rPr>
          <w:rFonts w:hint="eastAsia" w:ascii="宋体" w:hAnsi="宋体" w:eastAsia="宋体" w:cstheme="minorEastAsia"/>
          <w:sz w:val="28"/>
          <w:szCs w:val="28"/>
        </w:rPr>
      </w:pPr>
    </w:p>
    <w:p w14:paraId="3167DA1F">
      <w:pPr>
        <w:pStyle w:val="24"/>
        <w:numPr>
          <w:ilvl w:val="255"/>
          <w:numId w:val="0"/>
        </w:numPr>
        <w:rPr>
          <w:rFonts w:hint="eastAsia" w:ascii="宋体" w:hAnsi="宋体" w:eastAsia="宋体" w:cstheme="minorEastAsia"/>
          <w:sz w:val="28"/>
          <w:szCs w:val="28"/>
        </w:rPr>
      </w:pPr>
    </w:p>
    <w:p w14:paraId="7827ACE7">
      <w:pPr>
        <w:pStyle w:val="24"/>
        <w:numPr>
          <w:ilvl w:val="255"/>
          <w:numId w:val="0"/>
        </w:numPr>
        <w:rPr>
          <w:rFonts w:hint="eastAsia" w:ascii="宋体" w:hAnsi="宋体" w:eastAsia="宋体" w:cstheme="minorEastAsia"/>
          <w:sz w:val="28"/>
          <w:szCs w:val="28"/>
        </w:rPr>
      </w:pPr>
    </w:p>
    <w:p w14:paraId="25210B5D">
      <w:pPr>
        <w:pStyle w:val="24"/>
        <w:numPr>
          <w:ilvl w:val="255"/>
          <w:numId w:val="0"/>
        </w:numPr>
        <w:rPr>
          <w:rFonts w:hint="eastAsia" w:ascii="宋体" w:hAnsi="宋体" w:eastAsia="宋体" w:cstheme="minorEastAsia"/>
          <w:sz w:val="28"/>
          <w:szCs w:val="28"/>
        </w:rPr>
      </w:pPr>
    </w:p>
    <w:p w14:paraId="7FBDA28F">
      <w:pPr>
        <w:pStyle w:val="24"/>
        <w:numPr>
          <w:ilvl w:val="255"/>
          <w:numId w:val="0"/>
        </w:numPr>
        <w:rPr>
          <w:rFonts w:hint="eastAsia" w:ascii="宋体" w:hAnsi="宋体" w:eastAsia="宋体" w:cstheme="minorEastAsia"/>
          <w:sz w:val="28"/>
          <w:szCs w:val="28"/>
        </w:rPr>
      </w:pPr>
    </w:p>
    <w:p w14:paraId="2912357F">
      <w:pPr>
        <w:pStyle w:val="24"/>
        <w:numPr>
          <w:ilvl w:val="255"/>
          <w:numId w:val="0"/>
        </w:numPr>
        <w:rPr>
          <w:rFonts w:hint="eastAsia" w:ascii="宋体" w:hAnsi="宋体" w:eastAsia="宋体" w:cstheme="minorEastAsia"/>
          <w:sz w:val="28"/>
          <w:szCs w:val="28"/>
        </w:rPr>
      </w:pPr>
    </w:p>
    <w:p w14:paraId="3A9B1231">
      <w:pPr>
        <w:pStyle w:val="24"/>
        <w:ind w:firstLine="0" w:firstLineChars="0"/>
        <w:rPr>
          <w:rFonts w:hint="eastAsia" w:ascii="宋体" w:hAnsi="宋体" w:eastAsia="宋体" w:cstheme="minorEastAsia"/>
          <w:sz w:val="28"/>
          <w:szCs w:val="28"/>
        </w:rPr>
      </w:pPr>
    </w:p>
    <w:p w14:paraId="6A15BF7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1.0.25 建筑工程装修设计在需要进行防火分隔的场所未做防火分隔设计不满足规范要求。</w:t>
      </w:r>
    </w:p>
    <w:p w14:paraId="5F5EEDA7">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依据：《建筑防火通用规范》GB</w:t>
      </w:r>
      <w:r>
        <w:rPr>
          <w:rFonts w:ascii="宋体" w:hAnsi="宋体" w:eastAsia="宋体" w:cstheme="minorEastAsia"/>
          <w:sz w:val="28"/>
          <w:szCs w:val="28"/>
        </w:rPr>
        <w:t>55037-2022</w:t>
      </w:r>
      <w:r>
        <w:rPr>
          <w:rFonts w:hint="eastAsia" w:ascii="宋体" w:hAnsi="宋体" w:eastAsia="宋体" w:cstheme="minorEastAsia"/>
          <w:sz w:val="28"/>
          <w:szCs w:val="28"/>
        </w:rPr>
        <w:t>第</w:t>
      </w:r>
      <w:r>
        <w:rPr>
          <w:rFonts w:ascii="宋体" w:hAnsi="宋体" w:eastAsia="宋体" w:cstheme="minorEastAsia"/>
          <w:sz w:val="28"/>
          <w:szCs w:val="28"/>
        </w:rPr>
        <w:t>4.1.3</w:t>
      </w:r>
      <w:r>
        <w:rPr>
          <w:rFonts w:hint="eastAsia" w:ascii="宋体" w:hAnsi="宋体" w:eastAsia="宋体" w:cstheme="minorEastAsia"/>
          <w:sz w:val="28"/>
          <w:szCs w:val="28"/>
        </w:rPr>
        <w:t>条：下列场所应采用防火门、防火窗、耐火极限不低于</w:t>
      </w:r>
      <w:r>
        <w:rPr>
          <w:rFonts w:ascii="宋体" w:hAnsi="宋体" w:eastAsia="宋体" w:cstheme="minorEastAsia"/>
          <w:sz w:val="28"/>
          <w:szCs w:val="28"/>
        </w:rPr>
        <w:t>2.00h</w:t>
      </w:r>
      <w:r>
        <w:rPr>
          <w:rFonts w:hint="eastAsia" w:ascii="宋体" w:hAnsi="宋体" w:eastAsia="宋体" w:cstheme="minorEastAsia"/>
          <w:sz w:val="28"/>
          <w:szCs w:val="28"/>
        </w:rPr>
        <w:t>的防火隔墙和耐火极限不低于</w:t>
      </w:r>
      <w:r>
        <w:rPr>
          <w:rFonts w:ascii="宋体" w:hAnsi="宋体" w:eastAsia="宋体" w:cstheme="minorEastAsia"/>
          <w:sz w:val="28"/>
          <w:szCs w:val="28"/>
        </w:rPr>
        <w:t xml:space="preserve"> 1.00h </w:t>
      </w:r>
      <w:r>
        <w:rPr>
          <w:rFonts w:hint="eastAsia" w:ascii="宋体" w:hAnsi="宋体" w:eastAsia="宋体" w:cstheme="minorEastAsia"/>
          <w:sz w:val="28"/>
          <w:szCs w:val="28"/>
        </w:rPr>
        <w:t>的楼板与其他区域分隔：</w:t>
      </w:r>
    </w:p>
    <w:p w14:paraId="57D00D10">
      <w:pPr>
        <w:pStyle w:val="24"/>
        <w:numPr>
          <w:ilvl w:val="255"/>
          <w:numId w:val="0"/>
        </w:num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1 </w:t>
      </w:r>
      <w:r>
        <w:rPr>
          <w:rFonts w:hint="eastAsia" w:ascii="宋体" w:hAnsi="宋体" w:eastAsia="宋体" w:cstheme="minorEastAsia"/>
          <w:sz w:val="28"/>
          <w:szCs w:val="28"/>
        </w:rPr>
        <w:t>住宅建筑中的汽车库和锅炉房；</w:t>
      </w:r>
    </w:p>
    <w:p w14:paraId="63920024">
      <w:pPr>
        <w:pStyle w:val="24"/>
        <w:numPr>
          <w:ilvl w:val="255"/>
          <w:numId w:val="0"/>
        </w:num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2 </w:t>
      </w:r>
      <w:r>
        <w:rPr>
          <w:rFonts w:hint="eastAsia" w:ascii="宋体" w:hAnsi="宋体" w:eastAsia="宋体" w:cstheme="minorEastAsia"/>
          <w:sz w:val="28"/>
          <w:szCs w:val="28"/>
        </w:rPr>
        <w:t>除居住建筑中的套内自用厨房可不分隔外，建筑内的厨房；</w:t>
      </w:r>
    </w:p>
    <w:p w14:paraId="731C6368">
      <w:pPr>
        <w:pStyle w:val="24"/>
        <w:numPr>
          <w:ilvl w:val="255"/>
          <w:numId w:val="0"/>
        </w:numPr>
        <w:ind w:firstLine="560"/>
        <w:rPr>
          <w:rFonts w:hint="eastAsia" w:ascii="宋体" w:hAnsi="宋体" w:eastAsia="宋体" w:cstheme="minorEastAsia"/>
          <w:sz w:val="28"/>
          <w:szCs w:val="28"/>
        </w:rPr>
      </w:pPr>
      <w:r>
        <w:rPr>
          <w:rFonts w:ascii="宋体" w:hAnsi="宋体" w:eastAsia="宋体" w:cstheme="minorEastAsia"/>
          <w:sz w:val="28"/>
          <w:szCs w:val="28"/>
        </w:rPr>
        <w:t xml:space="preserve">3 </w:t>
      </w:r>
      <w:r>
        <w:rPr>
          <w:rFonts w:hint="eastAsia" w:ascii="宋体" w:hAnsi="宋体" w:eastAsia="宋体" w:cstheme="minorEastAsia"/>
          <w:sz w:val="28"/>
          <w:szCs w:val="28"/>
        </w:rPr>
        <w:t>医疗建筑中的手术室或手术部、产房、重症监护室、贵重精密医疗装备用房、储藏间、实验室、胶片室等；</w:t>
      </w:r>
    </w:p>
    <w:p w14:paraId="231E7010">
      <w:pPr>
        <w:pStyle w:val="24"/>
        <w:numPr>
          <w:ilvl w:val="255"/>
          <w:numId w:val="0"/>
        </w:num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4 </w:t>
      </w:r>
      <w:r>
        <w:rPr>
          <w:rFonts w:hint="eastAsia" w:ascii="宋体" w:hAnsi="宋体" w:eastAsia="宋体" w:cstheme="minorEastAsia"/>
          <w:sz w:val="28"/>
          <w:szCs w:val="28"/>
        </w:rPr>
        <w:t>建筑中的儿童活动场所、老年人照料设施；</w:t>
      </w:r>
    </w:p>
    <w:p w14:paraId="61BDE336">
      <w:pPr>
        <w:pStyle w:val="24"/>
        <w:numPr>
          <w:ilvl w:val="255"/>
          <w:numId w:val="0"/>
        </w:numPr>
        <w:ind w:firstLine="560" w:firstLineChars="200"/>
        <w:rPr>
          <w:rFonts w:hint="eastAsia" w:ascii="宋体" w:hAnsi="宋体" w:eastAsia="宋体" w:cstheme="minorEastAsia"/>
          <w:sz w:val="28"/>
          <w:szCs w:val="28"/>
        </w:rPr>
      </w:pPr>
      <w:r>
        <w:rPr>
          <w:rFonts w:ascii="宋体" w:hAnsi="宋体" w:eastAsia="宋体" w:cstheme="minorEastAsia"/>
          <w:sz w:val="28"/>
          <w:szCs w:val="28"/>
        </w:rPr>
        <w:t xml:space="preserve">5 </w:t>
      </w:r>
      <w:r>
        <w:rPr>
          <w:rFonts w:hint="eastAsia" w:ascii="宋体" w:hAnsi="宋体" w:eastAsia="宋体" w:cstheme="minorEastAsia"/>
          <w:sz w:val="28"/>
          <w:szCs w:val="28"/>
        </w:rPr>
        <w:t>除消防水泵房的防火分隔应符合本规范第</w:t>
      </w:r>
      <w:r>
        <w:rPr>
          <w:rFonts w:ascii="宋体" w:hAnsi="宋体" w:eastAsia="宋体" w:cstheme="minorEastAsia"/>
          <w:sz w:val="28"/>
          <w:szCs w:val="28"/>
        </w:rPr>
        <w:t>4.1.7</w:t>
      </w:r>
      <w:r>
        <w:rPr>
          <w:rFonts w:hint="eastAsia" w:ascii="宋体" w:hAnsi="宋体" w:eastAsia="宋体" w:cstheme="minorEastAsia"/>
          <w:sz w:val="28"/>
          <w:szCs w:val="28"/>
        </w:rPr>
        <w:t>条的规定，消防控制室的防火分隔应符合本规范第</w:t>
      </w:r>
      <w:r>
        <w:rPr>
          <w:rFonts w:ascii="宋体" w:hAnsi="宋体" w:eastAsia="宋体" w:cstheme="minorEastAsia"/>
          <w:sz w:val="28"/>
          <w:szCs w:val="28"/>
        </w:rPr>
        <w:t>4.1.8</w:t>
      </w:r>
      <w:r>
        <w:rPr>
          <w:rFonts w:hint="eastAsia" w:ascii="宋体" w:hAnsi="宋体" w:eastAsia="宋体" w:cstheme="minorEastAsia"/>
          <w:sz w:val="28"/>
          <w:szCs w:val="28"/>
        </w:rPr>
        <w:t>条的规定外，其他消防设备或器材用房。</w:t>
      </w:r>
    </w:p>
    <w:p w14:paraId="4CC280CF">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案例1：某装修工程，建筑内的厨房开向门厅的窗为普通窗，未采用乙级防火窗</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5CD45825">
      <w:pPr>
        <w:pStyle w:val="24"/>
        <w:numPr>
          <w:ilvl w:val="255"/>
          <w:numId w:val="0"/>
        </w:numPr>
        <w:jc w:val="center"/>
        <w:rPr>
          <w:rFonts w:hint="eastAsia" w:ascii="宋体" w:hAnsi="宋体" w:eastAsia="宋体" w:cstheme="minorEastAsia"/>
          <w:sz w:val="28"/>
          <w:szCs w:val="28"/>
        </w:rPr>
      </w:pPr>
      <w:r>
        <w:rPr>
          <w:rFonts w:ascii="宋体" w:hAnsi="宋体" w:eastAsia="宋体" w:cstheme="minorEastAsia"/>
          <w:sz w:val="28"/>
          <w:szCs w:val="28"/>
        </w:rPr>
        <w:drawing>
          <wp:inline distT="0" distB="0" distL="114300" distR="114300">
            <wp:extent cx="3866515" cy="2091690"/>
            <wp:effectExtent l="0" t="0" r="635" b="381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47"/>
                    <a:srcRect b="18170"/>
                    <a:stretch>
                      <a:fillRect/>
                    </a:stretch>
                  </pic:blipFill>
                  <pic:spPr>
                    <a:xfrm>
                      <a:off x="0" y="0"/>
                      <a:ext cx="3866515" cy="2091690"/>
                    </a:xfrm>
                    <a:prstGeom prst="rect">
                      <a:avLst/>
                    </a:prstGeom>
                    <a:noFill/>
                    <a:ln>
                      <a:noFill/>
                    </a:ln>
                  </pic:spPr>
                </pic:pic>
              </a:graphicData>
            </a:graphic>
          </wp:inline>
        </w:drawing>
      </w:r>
    </w:p>
    <w:p w14:paraId="59466034">
      <w:pPr>
        <w:pStyle w:val="24"/>
        <w:numPr>
          <w:ilvl w:val="255"/>
          <w:numId w:val="0"/>
        </w:numPr>
        <w:rPr>
          <w:rFonts w:hint="eastAsia" w:ascii="宋体" w:hAnsi="宋体" w:eastAsia="宋体" w:cstheme="minorEastAsia"/>
          <w:sz w:val="28"/>
          <w:szCs w:val="28"/>
        </w:rPr>
      </w:pPr>
    </w:p>
    <w:p w14:paraId="7BE57FC8">
      <w:pPr>
        <w:pStyle w:val="24"/>
        <w:numPr>
          <w:ilvl w:val="255"/>
          <w:numId w:val="0"/>
        </w:numPr>
        <w:rPr>
          <w:rFonts w:hint="eastAsia" w:ascii="宋体" w:hAnsi="宋体" w:eastAsia="宋体" w:cstheme="minorEastAsia"/>
          <w:sz w:val="28"/>
          <w:szCs w:val="28"/>
        </w:rPr>
      </w:pPr>
      <w:r>
        <w:rPr>
          <w:rFonts w:ascii="宋体" w:hAnsi="宋体" w:eastAsia="宋体" w:cstheme="minorEastAsia"/>
          <w:sz w:val="28"/>
          <w:szCs w:val="28"/>
        </w:rPr>
        <w:t xml:space="preserve">    </w:t>
      </w:r>
      <w:r>
        <w:rPr>
          <w:rFonts w:hint="eastAsia" w:ascii="宋体" w:hAnsi="宋体" w:eastAsia="宋体" w:cstheme="minorEastAsia"/>
          <w:sz w:val="28"/>
          <w:szCs w:val="28"/>
        </w:rPr>
        <w:t>案例2：某装饰装修工程增设了设备用房，未进行防火分隔</w:t>
      </w:r>
      <w:r>
        <w:rPr>
          <w:rFonts w:hint="eastAsia" w:ascii="宋体" w:hAnsi="宋体" w:eastAsia="宋体" w:cs="宋体"/>
          <w:color w:val="000000"/>
          <w:sz w:val="28"/>
        </w:rPr>
        <w:t>，不满足上述规范要求</w:t>
      </w:r>
      <w:r>
        <w:rPr>
          <w:rFonts w:hint="eastAsia" w:ascii="宋体" w:hAnsi="宋体" w:eastAsia="宋体" w:cs="宋体"/>
          <w:spacing w:val="-4"/>
          <w:sz w:val="28"/>
          <w:szCs w:val="28"/>
        </w:rPr>
        <w:t>。</w:t>
      </w:r>
    </w:p>
    <w:p w14:paraId="2E641424">
      <w:pPr>
        <w:pStyle w:val="24"/>
        <w:numPr>
          <w:ilvl w:val="255"/>
          <w:numId w:val="0"/>
        </w:numPr>
        <w:jc w:val="center"/>
        <w:rPr>
          <w:rFonts w:hint="eastAsia" w:ascii="宋体" w:hAnsi="宋体" w:eastAsia="宋体" w:cstheme="minorEastAsia"/>
          <w:sz w:val="28"/>
          <w:szCs w:val="28"/>
        </w:rPr>
      </w:pPr>
      <w:r>
        <w:rPr>
          <w:rFonts w:ascii="宋体" w:hAnsi="宋体" w:eastAsia="宋体" w:cstheme="minorEastAsia"/>
          <w:sz w:val="28"/>
          <w:szCs w:val="28"/>
        </w:rPr>
        <w:drawing>
          <wp:inline distT="0" distB="0" distL="0" distR="0">
            <wp:extent cx="4940935" cy="2797175"/>
            <wp:effectExtent l="0" t="0" r="12065" b="317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4940935" cy="2797175"/>
                    </a:xfrm>
                    <a:prstGeom prst="rect">
                      <a:avLst/>
                    </a:prstGeom>
                  </pic:spPr>
                </pic:pic>
              </a:graphicData>
            </a:graphic>
          </wp:inline>
        </w:drawing>
      </w:r>
    </w:p>
    <w:p w14:paraId="506585EA">
      <w:pPr>
        <w:pStyle w:val="24"/>
        <w:numPr>
          <w:ilvl w:val="255"/>
          <w:numId w:val="0"/>
        </w:num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案例3：某装饰装修工程增设了储藏室，但未进行防火分隔</w:t>
      </w:r>
      <w:r>
        <w:rPr>
          <w:rFonts w:hint="eastAsia" w:ascii="宋体" w:hAnsi="宋体" w:eastAsia="宋体" w:cs="宋体"/>
          <w:sz w:val="28"/>
        </w:rPr>
        <w:t>，不满足上</w:t>
      </w:r>
      <w:r>
        <w:rPr>
          <w:rFonts w:hint="eastAsia" w:ascii="宋体" w:hAnsi="宋体" w:eastAsia="宋体" w:cs="宋体"/>
          <w:color w:val="000000"/>
          <w:sz w:val="28"/>
        </w:rPr>
        <w:t>述规范要求</w:t>
      </w:r>
      <w:r>
        <w:rPr>
          <w:rFonts w:hint="eastAsia" w:ascii="宋体" w:hAnsi="宋体" w:eastAsia="宋体" w:cs="宋体"/>
          <w:spacing w:val="-4"/>
          <w:sz w:val="28"/>
          <w:szCs w:val="28"/>
        </w:rPr>
        <w:t>。</w:t>
      </w:r>
    </w:p>
    <w:p w14:paraId="61CF3DDE">
      <w:pPr>
        <w:pStyle w:val="24"/>
        <w:numPr>
          <w:ilvl w:val="255"/>
          <w:numId w:val="0"/>
        </w:numPr>
        <w:jc w:val="center"/>
        <w:rPr>
          <w:rFonts w:hint="eastAsia" w:ascii="宋体" w:hAnsi="宋体" w:eastAsia="宋体" w:cstheme="minorEastAsia"/>
          <w:sz w:val="28"/>
          <w:szCs w:val="28"/>
        </w:rPr>
      </w:pPr>
      <w:r>
        <w:rPr>
          <w:rFonts w:hint="eastAsia" w:ascii="宋体" w:hAnsi="宋体" w:eastAsia="宋体" w:cstheme="minorEastAsia"/>
          <w:sz w:val="28"/>
          <w:szCs w:val="28"/>
        </w:rPr>
        <w:drawing>
          <wp:inline distT="0" distB="0" distL="0" distR="0">
            <wp:extent cx="3840480" cy="2979420"/>
            <wp:effectExtent l="0" t="0" r="7620" b="1143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840480" cy="2979420"/>
                    </a:xfrm>
                    <a:prstGeom prst="rect">
                      <a:avLst/>
                    </a:prstGeom>
                  </pic:spPr>
                </pic:pic>
              </a:graphicData>
            </a:graphic>
          </wp:inline>
        </w:drawing>
      </w:r>
    </w:p>
    <w:bookmarkEnd w:id="0"/>
    <w:p w14:paraId="0D7DA0B3">
      <w:pPr>
        <w:rPr>
          <w:rFonts w:hint="eastAsia" w:ascii="宋体" w:hAnsi="宋体" w:eastAsia="宋体" w:cstheme="minorEastAsia"/>
          <w:sz w:val="28"/>
          <w:szCs w:val="28"/>
        </w:rPr>
      </w:pPr>
    </w:p>
    <w:p w14:paraId="2CF20E1E">
      <w:pPr>
        <w:rPr>
          <w:rFonts w:hint="eastAsia" w:ascii="宋体" w:hAnsi="宋体" w:eastAsia="宋体" w:cstheme="minorEastAsia"/>
          <w:sz w:val="28"/>
          <w:szCs w:val="28"/>
        </w:rPr>
      </w:pPr>
    </w:p>
    <w:p w14:paraId="278A9DE3">
      <w:pPr>
        <w:jc w:val="center"/>
        <w:rPr>
          <w:rFonts w:hint="eastAsia" w:ascii="宋体" w:hAnsi="宋体" w:eastAsia="宋体" w:cs="Times New Roman"/>
          <w:sz w:val="32"/>
          <w:szCs w:val="32"/>
        </w:rPr>
      </w:pPr>
      <w:r>
        <w:rPr>
          <w:rFonts w:hint="eastAsia" w:ascii="宋体" w:hAnsi="宋体" w:eastAsia="宋体" w:cs="Times New Roman"/>
          <w:sz w:val="32"/>
          <w:szCs w:val="32"/>
        </w:rPr>
        <w:t>2</w:t>
      </w:r>
      <w:r>
        <w:rPr>
          <w:rFonts w:ascii="宋体" w:hAnsi="宋体" w:eastAsia="宋体" w:cs="Times New Roman"/>
          <w:sz w:val="32"/>
          <w:szCs w:val="32"/>
        </w:rPr>
        <w:t xml:space="preserve"> </w:t>
      </w:r>
      <w:r>
        <w:rPr>
          <w:rFonts w:hint="eastAsia" w:ascii="宋体" w:hAnsi="宋体" w:eastAsia="宋体" w:cs="Times New Roman"/>
          <w:sz w:val="32"/>
          <w:szCs w:val="32"/>
        </w:rPr>
        <w:t>结构</w:t>
      </w:r>
    </w:p>
    <w:p w14:paraId="0BD7E369">
      <w:pPr>
        <w:ind w:firstLine="544" w:firstLineChars="200"/>
        <w:rPr>
          <w:rFonts w:hint="eastAsia" w:ascii="宋体" w:hAnsi="宋体" w:eastAsia="宋体" w:cs="仿宋_GB2312"/>
          <w:sz w:val="28"/>
          <w:szCs w:val="28"/>
        </w:rPr>
      </w:pPr>
      <w:r>
        <w:rPr>
          <w:rFonts w:hint="eastAsia" w:ascii="宋体" w:hAnsi="宋体" w:eastAsia="宋体" w:cstheme="minorEastAsia"/>
          <w:spacing w:val="-4"/>
          <w:sz w:val="28"/>
          <w:szCs w:val="28"/>
        </w:rPr>
        <w:t xml:space="preserve">2.0.1 </w:t>
      </w:r>
      <w:r>
        <w:rPr>
          <w:rFonts w:hint="eastAsia" w:ascii="宋体" w:hAnsi="宋体" w:eastAsia="宋体" w:cs="仿宋_GB2312"/>
          <w:sz w:val="28"/>
          <w:szCs w:val="28"/>
        </w:rPr>
        <w:t>装修改造时新设防火墙下部未设梁。</w:t>
      </w:r>
    </w:p>
    <w:p w14:paraId="743BF3BB">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依据</w:t>
      </w:r>
      <w:r>
        <w:rPr>
          <w:rFonts w:hint="eastAsia" w:ascii="宋体" w:hAnsi="宋体" w:eastAsia="宋体" w:cstheme="minorEastAsia"/>
          <w:sz w:val="28"/>
          <w:szCs w:val="28"/>
        </w:rPr>
        <w:t>：</w:t>
      </w:r>
      <w:r>
        <w:rPr>
          <w:rFonts w:hint="eastAsia" w:ascii="宋体" w:hAnsi="宋体" w:eastAsia="宋体" w:cs="仿宋_GB2312"/>
          <w:sz w:val="28"/>
          <w:szCs w:val="28"/>
        </w:rPr>
        <w:t>《建筑防火通用规范》</w:t>
      </w:r>
      <w:r>
        <w:rPr>
          <w:rFonts w:ascii="宋体" w:hAnsi="宋体" w:eastAsia="宋体" w:cs="Times New Roman"/>
          <w:sz w:val="28"/>
          <w:szCs w:val="28"/>
        </w:rPr>
        <w:t>GB55037-2022</w:t>
      </w:r>
      <w:r>
        <w:rPr>
          <w:rFonts w:hint="eastAsia" w:ascii="宋体" w:hAnsi="宋体" w:eastAsia="宋体" w:cs="仿宋_GB2312"/>
          <w:sz w:val="28"/>
          <w:szCs w:val="28"/>
        </w:rPr>
        <w:t>第</w:t>
      </w:r>
      <w:r>
        <w:rPr>
          <w:rFonts w:ascii="宋体" w:hAnsi="宋体" w:eastAsia="宋体" w:cs="Times New Roman"/>
          <w:sz w:val="28"/>
          <w:szCs w:val="28"/>
        </w:rPr>
        <w:t>6.1.1</w:t>
      </w:r>
      <w:r>
        <w:rPr>
          <w:rFonts w:hint="eastAsia" w:ascii="宋体" w:hAnsi="宋体" w:eastAsia="宋体" w:cs="仿宋_GB2312"/>
          <w:sz w:val="28"/>
          <w:szCs w:val="28"/>
        </w:rPr>
        <w:t>条，防火墙应直接设置在建筑的基础或具有相应耐火性能的框架、梁等承重结构上，并应从楼地面基层隔断至结构梁、楼板或屋面板的地面。</w:t>
      </w:r>
    </w:p>
    <w:p w14:paraId="3B023CCD">
      <w:pPr>
        <w:ind w:firstLine="544" w:firstLineChars="200"/>
        <w:rPr>
          <w:rFonts w:hint="eastAsia" w:ascii="宋体" w:hAnsi="宋体" w:eastAsia="宋体" w:cs="仿宋_GB2312"/>
          <w:sz w:val="28"/>
          <w:szCs w:val="28"/>
        </w:rPr>
      </w:pPr>
      <w:r>
        <w:rPr>
          <w:rFonts w:hint="eastAsia" w:ascii="宋体" w:hAnsi="宋体" w:eastAsia="宋体" w:cstheme="minorEastAsia"/>
          <w:spacing w:val="-4"/>
          <w:sz w:val="28"/>
          <w:szCs w:val="28"/>
        </w:rPr>
        <w:t>2.0.2</w:t>
      </w:r>
      <w:r>
        <w:rPr>
          <w:rFonts w:hint="eastAsia" w:ascii="宋体" w:hAnsi="宋体" w:eastAsia="宋体" w:cs="仿宋_GB2312"/>
          <w:sz w:val="28"/>
          <w:szCs w:val="28"/>
        </w:rPr>
        <w:t>装修改造时，新设防火墙耐火极限高于结构主体梁、柱耐火极限。</w:t>
      </w:r>
    </w:p>
    <w:p w14:paraId="5FE365A7">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依据：《建筑设计防火规范》GB50016-2014（2018年版）第5.1.2条，耐火等级为一级时，新增的防火墙耐火极限不应低于3h，该防火墙下部框架梁耐火极限也不应低于3h。</w:t>
      </w:r>
    </w:p>
    <w:p w14:paraId="31BFA810">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2.0.3装饰装修时，新增结构采用钢结构，而钢结构消防设计说明未明确各钢构件的耐火极限、热阻系数、涂层厚度等说明。</w:t>
      </w:r>
    </w:p>
    <w:p w14:paraId="209F32F9">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依据：《钢结构通用规范》GB55006-2021第6.3.3条，钢结构应根据设计耐火极限采用相应的防火保护措施，或进行耐火验算与防火设计。钢结构构件的耐火极限经验算低于设计耐火极限时，应采取防火保护措施。</w:t>
      </w:r>
    </w:p>
    <w:p w14:paraId="16734709">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2.0.4 装饰装修时，新增结构局部采用木结构，而木结构消防设计说明未明确各木构件的耐火极限、防火设计。</w:t>
      </w:r>
    </w:p>
    <w:p w14:paraId="5F78F02C">
      <w:pPr>
        <w:ind w:firstLine="560" w:firstLineChars="200"/>
        <w:rPr>
          <w:rFonts w:hint="eastAsia" w:ascii="宋体" w:hAnsi="宋体" w:eastAsia="宋体" w:cs="仿宋_GB2312"/>
          <w:sz w:val="28"/>
          <w:szCs w:val="28"/>
        </w:rPr>
      </w:pPr>
      <w:r>
        <w:rPr>
          <w:rFonts w:hint="eastAsia" w:ascii="宋体" w:hAnsi="宋体" w:eastAsia="宋体" w:cs="仿宋_GB2312"/>
          <w:sz w:val="28"/>
          <w:szCs w:val="28"/>
        </w:rPr>
        <w:t>依据：《木结构设计标准》GB50005-2017第10章，木结构建筑的防火设计和防火构造应进行专项设计。</w:t>
      </w:r>
    </w:p>
    <w:p w14:paraId="3DA2A1E6">
      <w:pPr>
        <w:ind w:firstLine="560" w:firstLineChars="200"/>
        <w:rPr>
          <w:rFonts w:hint="eastAsia" w:ascii="宋体" w:hAnsi="宋体" w:eastAsia="宋体" w:cs="仿宋_GB2312"/>
          <w:sz w:val="28"/>
          <w:szCs w:val="28"/>
        </w:rPr>
      </w:pPr>
    </w:p>
    <w:p w14:paraId="2329CD32">
      <w:pPr>
        <w:jc w:val="center"/>
        <w:rPr>
          <w:rFonts w:hint="eastAsia" w:ascii="宋体" w:hAnsi="宋体" w:eastAsia="宋体" w:cs="Times New Roman"/>
          <w:sz w:val="32"/>
          <w:szCs w:val="32"/>
        </w:rPr>
      </w:pPr>
      <w:r>
        <w:rPr>
          <w:rFonts w:hint="eastAsia" w:ascii="宋体" w:hAnsi="宋体" w:eastAsia="宋体" w:cs="Times New Roman"/>
          <w:sz w:val="32"/>
          <w:szCs w:val="32"/>
        </w:rPr>
        <w:t>3给排水</w:t>
      </w:r>
    </w:p>
    <w:p w14:paraId="15B1CC6F">
      <w:pPr>
        <w:ind w:firstLine="544" w:firstLineChars="200"/>
        <w:rPr>
          <w:rFonts w:hint="eastAsia" w:ascii="宋体" w:hAnsi="宋体" w:eastAsia="宋体" w:cstheme="minorEastAsia"/>
          <w:sz w:val="28"/>
          <w:szCs w:val="28"/>
        </w:rPr>
      </w:pPr>
      <w:r>
        <w:rPr>
          <w:rFonts w:hint="eastAsia" w:ascii="宋体" w:hAnsi="宋体" w:eastAsia="宋体" w:cstheme="minorEastAsia"/>
          <w:spacing w:val="-4"/>
          <w:sz w:val="28"/>
          <w:szCs w:val="28"/>
        </w:rPr>
        <w:t>3.0.1 设计说明缺“主体工程施工图审查合格备案时间（或主体建筑竣工验收时间）”</w:t>
      </w:r>
      <w:r>
        <w:rPr>
          <w:rFonts w:hint="eastAsia" w:ascii="宋体" w:hAnsi="宋体" w:eastAsia="宋体" w:cstheme="minorEastAsia"/>
          <w:sz w:val="28"/>
          <w:szCs w:val="28"/>
        </w:rPr>
        <w:t>。</w:t>
      </w:r>
    </w:p>
    <w:p w14:paraId="60FC8CEC">
      <w:pPr>
        <w:ind w:firstLine="560" w:firstLineChars="200"/>
        <w:rPr>
          <w:rFonts w:hint="eastAsia" w:ascii="宋体" w:hAnsi="宋体" w:eastAsia="宋体" w:cstheme="minorEastAsia"/>
          <w:color w:val="FF0000"/>
          <w:spacing w:val="-4"/>
          <w:sz w:val="28"/>
          <w:szCs w:val="28"/>
        </w:rPr>
      </w:pPr>
      <w:r>
        <w:rPr>
          <w:rFonts w:hint="eastAsia" w:ascii="宋体" w:hAnsi="宋体" w:eastAsia="宋体" w:cs="宋体"/>
          <w:color w:val="000000"/>
          <w:sz w:val="28"/>
          <w:szCs w:val="28"/>
        </w:rPr>
        <w:t>依据：</w:t>
      </w:r>
      <w:r>
        <w:rPr>
          <w:rFonts w:hint="eastAsia" w:ascii="宋体" w:hAnsi="宋体" w:eastAsia="宋体" w:cstheme="minorEastAsia"/>
          <w:sz w:val="28"/>
          <w:szCs w:val="28"/>
        </w:rPr>
        <w:t>《重庆市建筑内部装修工程施工图消防设计文件编制技术规定》</w:t>
      </w:r>
      <w:r>
        <w:rPr>
          <w:rFonts w:ascii="宋体" w:hAnsi="宋体" w:eastAsia="宋体"/>
        </w:rPr>
        <w:commentReference w:id="3"/>
      </w:r>
      <w:r>
        <w:rPr>
          <w:rFonts w:hint="eastAsia" w:ascii="宋体" w:hAnsi="宋体" w:eastAsia="宋体" w:cstheme="minorEastAsia"/>
          <w:sz w:val="28"/>
          <w:szCs w:val="28"/>
        </w:rPr>
        <w:t>要求</w:t>
      </w:r>
      <w:r>
        <w:rPr>
          <w:rFonts w:hint="eastAsia" w:ascii="宋体" w:hAnsi="宋体" w:eastAsia="宋体" w:cstheme="minorEastAsia"/>
          <w:spacing w:val="-4"/>
          <w:sz w:val="28"/>
          <w:szCs w:val="28"/>
        </w:rPr>
        <w:t>：装修消防设计应符合现行建设工程法律法规和国家工程建设消防技术标准的要求。条件确不具备的，在建工程（指正在建设尚未竣工验收备案的工程）的装修消防设计，不应低于主体工程施工图消防设计标准的要求；既有建筑（指取得合法房屋产权证明或已竣工验收备案的建筑）的装修消防设计，不应低于主体建筑在竣工验收合格时的消防设计标准的要求。</w:t>
      </w:r>
    </w:p>
    <w:p w14:paraId="53B72854">
      <w:pPr>
        <w:ind w:firstLine="544" w:firstLineChars="200"/>
        <w:rPr>
          <w:rFonts w:hint="eastAsia" w:ascii="宋体" w:hAnsi="宋体" w:eastAsia="宋体" w:cstheme="minorEastAsia"/>
          <w:spacing w:val="-4"/>
          <w:sz w:val="28"/>
          <w:szCs w:val="28"/>
        </w:rPr>
      </w:pPr>
      <w:r>
        <w:rPr>
          <w:rFonts w:hint="eastAsia" w:ascii="宋体" w:hAnsi="宋体" w:eastAsia="宋体" w:cstheme="minorEastAsia"/>
          <w:color w:val="000000" w:themeColor="text1"/>
          <w:spacing w:val="-4"/>
          <w:sz w:val="28"/>
          <w:szCs w:val="28"/>
          <w14:textFill>
            <w14:solidFill>
              <w14:schemeClr w14:val="tx1"/>
            </w14:solidFill>
          </w14:textFill>
        </w:rPr>
        <w:t>案例：某项目为按《消防给水及消火栓系统技术规范》GB50974-2014实施前的规范标准竣工验收的建筑工程，经核实，该建筑装修设计时采用“既有建筑不低于主体建筑在竣工验收合格时的消防设计标准”，原有消防系统无流量开关、压力开关等自动启泵方式，且本次装修设计并未修改系统控制方式，新增的室内消火栓应沿用原有控制方式，其消防按钮应能直接启泵。</w:t>
      </w:r>
    </w:p>
    <w:p w14:paraId="3492FC40">
      <w:pPr>
        <w:ind w:firstLine="544" w:firstLineChars="200"/>
        <w:rPr>
          <w:rFonts w:hint="eastAsia" w:ascii="宋体" w:hAnsi="宋体" w:eastAsia="宋体" w:cstheme="minorEastAsia"/>
          <w:color w:val="FF0000"/>
          <w:spacing w:val="-4"/>
          <w:sz w:val="28"/>
          <w:szCs w:val="28"/>
        </w:rPr>
      </w:pPr>
      <w:r>
        <w:rPr>
          <w:rFonts w:hint="eastAsia" w:ascii="宋体" w:hAnsi="宋体" w:eastAsia="宋体" w:cstheme="minorEastAsia"/>
          <w:spacing w:val="-4"/>
          <w:sz w:val="28"/>
          <w:szCs w:val="28"/>
        </w:rPr>
        <w:t>3.0.2 室内消火栓的布置不满足2股充实水柱保护的要求。</w:t>
      </w:r>
    </w:p>
    <w:p w14:paraId="05E40602">
      <w:pPr>
        <w:ind w:firstLine="560" w:firstLineChars="200"/>
        <w:rPr>
          <w:rFonts w:hint="eastAsia" w:ascii="宋体" w:hAnsi="宋体" w:eastAsia="宋体" w:cstheme="minorEastAsia"/>
          <w:kern w:val="0"/>
          <w:sz w:val="28"/>
          <w:szCs w:val="28"/>
        </w:rPr>
      </w:pPr>
      <w:r>
        <w:rPr>
          <w:rFonts w:hint="eastAsia" w:ascii="宋体" w:hAnsi="宋体" w:eastAsia="宋体" w:cs="宋体"/>
          <w:color w:val="000000"/>
          <w:sz w:val="28"/>
          <w:szCs w:val="28"/>
        </w:rPr>
        <w:t>依据：</w:t>
      </w:r>
      <w:r>
        <w:rPr>
          <w:rFonts w:hint="eastAsia" w:ascii="宋体" w:hAnsi="宋体" w:eastAsia="宋体" w:cstheme="minorEastAsia"/>
          <w:spacing w:val="-4"/>
          <w:sz w:val="28"/>
          <w:szCs w:val="28"/>
        </w:rPr>
        <w:t>《消防给水及消火栓系统技术规范》GB50974-2014第7.4.6条 室内消火栓的布置应满足同一平面有2支消防水枪的2股充实水柱同时达到任何部位的要求……；第10.2.1条 关于室内消火栓的保护半径计算方法中规定，消防水带弯曲折减系数，宜根据消防水带转弯数量取0.8</w:t>
      </w:r>
      <w:r>
        <w:rPr>
          <w:rFonts w:hint="eastAsia" w:ascii="方正仿宋_GBK" w:hAnsi="宋体" w:eastAsia="方正仿宋_GBK" w:cstheme="minorEastAsia"/>
          <w:spacing w:val="-4"/>
          <w:sz w:val="28"/>
          <w:szCs w:val="28"/>
        </w:rPr>
        <w:t>~</w:t>
      </w:r>
      <w:r>
        <w:rPr>
          <w:rFonts w:hint="eastAsia" w:ascii="宋体" w:hAnsi="宋体" w:eastAsia="宋体" w:cstheme="minorEastAsia"/>
          <w:spacing w:val="-4"/>
          <w:sz w:val="28"/>
          <w:szCs w:val="28"/>
        </w:rPr>
        <w:t>0.9。</w:t>
      </w:r>
    </w:p>
    <w:p w14:paraId="17C73DA4">
      <w:pPr>
        <w:ind w:firstLine="544" w:firstLineChars="200"/>
        <w:rPr>
          <w:rFonts w:hint="eastAsia" w:ascii="宋体" w:hAnsi="宋体" w:eastAsia="宋体" w:cstheme="minorEastAsia"/>
          <w:color w:val="FF0000"/>
          <w:spacing w:val="-4"/>
          <w:sz w:val="28"/>
          <w:szCs w:val="28"/>
        </w:rPr>
      </w:pPr>
      <w:r>
        <w:rPr>
          <w:rFonts w:hint="eastAsia" w:ascii="宋体" w:hAnsi="宋体" w:eastAsia="宋体" w:cstheme="minorEastAsia"/>
          <w:spacing w:val="-4"/>
          <w:sz w:val="28"/>
          <w:szCs w:val="28"/>
        </w:rPr>
        <w:t>案例1：某厂房项目，装修范围内的消火栓不满足同一平面有2支消防水枪的2股充实水柱同时达到任何部位的要求，非装修设计范围内利旧的消火栓未表达在平面图中。</w:t>
      </w:r>
    </w:p>
    <w:p w14:paraId="519477EC">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076825" cy="2437130"/>
            <wp:effectExtent l="0" t="0" r="0" b="1270"/>
            <wp:docPr id="41" name="图片 35" descr="C:\Users\Administrator\AppData\Roaming\Tencent\Users\3604754\QQ\WinTemp\RichOle\KARM75RI15TJ4O@0O9VE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5" descr="C:\Users\Administrator\AppData\Roaming\Tencent\Users\3604754\QQ\WinTemp\RichOle\KARM75RI15TJ4O@0O9VEQ{1.png"/>
                    <pic:cNvPicPr>
                      <a:picLocks noChangeAspect="1" noChangeArrowheads="1"/>
                    </pic:cNvPicPr>
                  </pic:nvPicPr>
                  <pic:blipFill>
                    <a:blip r:embed="rId50"/>
                    <a:srcRect/>
                    <a:stretch>
                      <a:fillRect/>
                    </a:stretch>
                  </pic:blipFill>
                  <pic:spPr>
                    <a:xfrm>
                      <a:off x="0" y="0"/>
                      <a:ext cx="5092930" cy="2445106"/>
                    </a:xfrm>
                    <a:prstGeom prst="rect">
                      <a:avLst/>
                    </a:prstGeom>
                    <a:noFill/>
                    <a:ln w="9525">
                      <a:noFill/>
                      <a:miter lim="800000"/>
                      <a:headEnd/>
                      <a:tailEnd/>
                    </a:ln>
                  </pic:spPr>
                </pic:pic>
              </a:graphicData>
            </a:graphic>
          </wp:inline>
        </w:drawing>
      </w:r>
    </w:p>
    <w:p w14:paraId="47C96D2E">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案例2：某办公项目中，消火栓水带至最不利房间门口处的行走距离未考虑消防水带弯曲折减系数，消火栓水枪无法进入该房间实施灭火：</w:t>
      </w:r>
    </w:p>
    <w:p w14:paraId="156E4C63">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886325" cy="2574290"/>
            <wp:effectExtent l="0" t="0" r="0" b="0"/>
            <wp:docPr id="23" name="图片 1" descr="C:\Users\Administrator\AppData\Roaming\Tencent\Users\3604754\QQ\WinTemp\RichOle\6{~BB}TT)QP`2MO{%@579]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C:\Users\Administrator\AppData\Roaming\Tencent\Users\3604754\QQ\WinTemp\RichOle\6{~BB}TT)QP`2MO{%@579]U.png"/>
                    <pic:cNvPicPr>
                      <a:picLocks noChangeAspect="1" noChangeArrowheads="1"/>
                    </pic:cNvPicPr>
                  </pic:nvPicPr>
                  <pic:blipFill>
                    <a:blip r:embed="rId51"/>
                    <a:srcRect/>
                    <a:stretch>
                      <a:fillRect/>
                    </a:stretch>
                  </pic:blipFill>
                  <pic:spPr>
                    <a:xfrm>
                      <a:off x="0" y="0"/>
                      <a:ext cx="4921030" cy="2592628"/>
                    </a:xfrm>
                    <a:prstGeom prst="rect">
                      <a:avLst/>
                    </a:prstGeom>
                    <a:noFill/>
                    <a:ln w="9525">
                      <a:noFill/>
                      <a:miter lim="800000"/>
                      <a:headEnd/>
                      <a:tailEnd/>
                    </a:ln>
                  </pic:spPr>
                </pic:pic>
              </a:graphicData>
            </a:graphic>
          </wp:inline>
        </w:drawing>
      </w:r>
    </w:p>
    <w:p w14:paraId="4375412A">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spacing w:val="-4"/>
          <w:sz w:val="28"/>
          <w:szCs w:val="28"/>
        </w:rPr>
        <w:t xml:space="preserve">3.0.3 </w:t>
      </w:r>
      <w:r>
        <w:rPr>
          <w:rFonts w:hint="eastAsia" w:ascii="宋体" w:hAnsi="宋体" w:eastAsia="宋体" w:cstheme="minorEastAsia"/>
          <w:color w:val="000000" w:themeColor="text1"/>
          <w:spacing w:val="-4"/>
          <w:sz w:val="28"/>
          <w:szCs w:val="28"/>
          <w14:textFill>
            <w14:solidFill>
              <w14:schemeClr w14:val="tx1"/>
            </w14:solidFill>
          </w14:textFill>
        </w:rPr>
        <w:t>消火栓箱暗装于有耐火性能要求的隔墙上时，未在箱后采取防止火灾蔓延的措施。</w:t>
      </w:r>
    </w:p>
    <w:p w14:paraId="0451C1E0">
      <w:pPr>
        <w:ind w:firstLine="560" w:firstLineChars="200"/>
        <w:rPr>
          <w:rFonts w:hint="eastAsia" w:ascii="宋体" w:hAnsi="宋体" w:eastAsia="宋体" w:cstheme="minorEastAsia"/>
          <w:spacing w:val="-4"/>
          <w:sz w:val="28"/>
          <w:szCs w:val="28"/>
        </w:rPr>
      </w:pPr>
      <w:r>
        <w:rPr>
          <w:rFonts w:hint="eastAsia" w:ascii="宋体" w:hAnsi="宋体" w:eastAsia="宋体" w:cs="宋体"/>
          <w:color w:val="000000"/>
          <w:sz w:val="28"/>
          <w:szCs w:val="28"/>
        </w:rPr>
        <w:t>依据：</w:t>
      </w:r>
      <w:r>
        <w:rPr>
          <w:rFonts w:hint="eastAsia" w:ascii="宋体" w:hAnsi="宋体" w:eastAsia="宋体" w:cstheme="minorEastAsia"/>
          <w:spacing w:val="-4"/>
          <w:sz w:val="28"/>
          <w:szCs w:val="28"/>
        </w:rPr>
        <w:t>《消防给水及消火栓系统技术规范》GB50974-2014第12.3.10条第2款：室内消火栓箱的安装应平正、牢固，暗装的消火栓箱不应破坏隔墙的耐火性能。</w:t>
      </w:r>
    </w:p>
    <w:p w14:paraId="4F876B24">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案例：某办公项目，消火栓箱暗装于走道两侧的隔墙，破坏了其耐火性能，且未采取防止火灾蔓延的措施。</w:t>
      </w:r>
    </w:p>
    <w:p w14:paraId="192629D5">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177790" cy="2403475"/>
            <wp:effectExtent l="0" t="0" r="3810" b="0"/>
            <wp:docPr id="25" name="图片 5" descr="C:\Users\Administrator\AppData\Roaming\Tencent\Users\3604754\QQ\WinTemp\RichOle\~FULPEEXX)ZH5$L7A9N1%T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C:\Users\Administrator\AppData\Roaming\Tencent\Users\3604754\QQ\WinTemp\RichOle\~FULPEEXX)ZH5$L7A9N1%TB.png"/>
                    <pic:cNvPicPr>
                      <a:picLocks noChangeAspect="1" noChangeArrowheads="1"/>
                    </pic:cNvPicPr>
                  </pic:nvPicPr>
                  <pic:blipFill>
                    <a:blip r:embed="rId52"/>
                    <a:srcRect/>
                    <a:stretch>
                      <a:fillRect/>
                    </a:stretch>
                  </pic:blipFill>
                  <pic:spPr>
                    <a:xfrm>
                      <a:off x="0" y="0"/>
                      <a:ext cx="5204469" cy="2416046"/>
                    </a:xfrm>
                    <a:prstGeom prst="rect">
                      <a:avLst/>
                    </a:prstGeom>
                    <a:noFill/>
                    <a:ln w="9525">
                      <a:noFill/>
                      <a:miter lim="800000"/>
                      <a:headEnd/>
                      <a:tailEnd/>
                    </a:ln>
                  </pic:spPr>
                </pic:pic>
              </a:graphicData>
            </a:graphic>
          </wp:inline>
        </w:drawing>
      </w:r>
    </w:p>
    <w:p w14:paraId="1FE94E01">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3.0.4 幼儿园消火栓箱未暗装设置，存在幼儿碰撞安全隐患。</w:t>
      </w:r>
    </w:p>
    <w:p w14:paraId="5462396E">
      <w:pPr>
        <w:ind w:firstLine="560" w:firstLineChars="200"/>
        <w:rPr>
          <w:rFonts w:hint="eastAsia" w:ascii="宋体" w:hAnsi="宋体" w:eastAsia="宋体" w:cstheme="minorEastAsia"/>
          <w:spacing w:val="-4"/>
          <w:sz w:val="28"/>
          <w:szCs w:val="28"/>
        </w:rPr>
      </w:pPr>
      <w:r>
        <w:rPr>
          <w:rFonts w:hint="eastAsia" w:ascii="宋体" w:hAnsi="宋体" w:eastAsia="宋体" w:cs="宋体"/>
          <w:color w:val="000000"/>
          <w:sz w:val="28"/>
          <w:szCs w:val="28"/>
        </w:rPr>
        <w:t>依据：</w:t>
      </w:r>
      <w:r>
        <w:rPr>
          <w:rFonts w:hint="eastAsia" w:ascii="宋体" w:hAnsi="宋体" w:eastAsia="宋体" w:cstheme="minorEastAsia"/>
          <w:spacing w:val="-4"/>
          <w:sz w:val="28"/>
          <w:szCs w:val="28"/>
        </w:rPr>
        <w:t>《托儿所、幼儿园建筑设计规范》JGJ 39-2016(2019)第6.1.10条 消防立管阀门布置应避免幼儿碰撞，并应将消火栓箱暗装设置</w:t>
      </w:r>
      <w:r>
        <w:rPr>
          <w:rFonts w:hint="eastAsia" w:ascii="宋体" w:hAnsi="宋体" w:eastAsia="宋体" w:cstheme="minorEastAsia"/>
          <w:color w:val="000000" w:themeColor="text1"/>
          <w:spacing w:val="-4"/>
          <w:sz w:val="28"/>
          <w:szCs w:val="28"/>
          <w14:textFill>
            <w14:solidFill>
              <w14:schemeClr w14:val="tx1"/>
            </w14:solidFill>
          </w14:textFill>
        </w:rPr>
        <w:t>。</w:t>
      </w:r>
    </w:p>
    <w:p w14:paraId="57420C39">
      <w:pPr>
        <w:ind w:firstLine="544" w:firstLineChars="200"/>
        <w:jc w:val="left"/>
        <w:rPr>
          <w:rFonts w:hint="eastAsia" w:ascii="宋体" w:hAnsi="宋体" w:eastAsia="宋体" w:cstheme="minorEastAsia"/>
          <w:color w:val="FF0000"/>
          <w:spacing w:val="-4"/>
          <w:sz w:val="28"/>
          <w:szCs w:val="28"/>
        </w:rPr>
      </w:pPr>
      <w:r>
        <w:rPr>
          <w:rFonts w:hint="eastAsia" w:ascii="宋体" w:hAnsi="宋体" w:eastAsia="宋体" w:cstheme="minorEastAsia"/>
          <w:spacing w:val="-4"/>
          <w:sz w:val="28"/>
          <w:szCs w:val="28"/>
        </w:rPr>
        <w:t>案例：某幼儿园消火栓箱未暗装设置。</w:t>
      </w:r>
    </w:p>
    <w:p w14:paraId="1BDBC9B1">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086350" cy="2308225"/>
            <wp:effectExtent l="0" t="0" r="0" b="0"/>
            <wp:docPr id="27" name="图片 7" descr="C:\Users\Administrator\AppData\Roaming\Tencent\Users\3604754\QQ\WinTemp\RichOle\@G3Y7_LQTG`CTI[RI{J9[U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descr="C:\Users\Administrator\AppData\Roaming\Tencent\Users\3604754\QQ\WinTemp\RichOle\@G3Y7_LQTG`CTI[RI{J9[UC.png"/>
                    <pic:cNvPicPr>
                      <a:picLocks noChangeAspect="1" noChangeArrowheads="1"/>
                    </pic:cNvPicPr>
                  </pic:nvPicPr>
                  <pic:blipFill>
                    <a:blip r:embed="rId53"/>
                    <a:srcRect/>
                    <a:stretch>
                      <a:fillRect/>
                    </a:stretch>
                  </pic:blipFill>
                  <pic:spPr>
                    <a:xfrm>
                      <a:off x="0" y="0"/>
                      <a:ext cx="5110891" cy="2319474"/>
                    </a:xfrm>
                    <a:prstGeom prst="rect">
                      <a:avLst/>
                    </a:prstGeom>
                    <a:noFill/>
                    <a:ln w="9525">
                      <a:noFill/>
                      <a:miter lim="800000"/>
                      <a:headEnd/>
                      <a:tailEnd/>
                    </a:ln>
                  </pic:spPr>
                </pic:pic>
              </a:graphicData>
            </a:graphic>
          </wp:inline>
        </w:drawing>
      </w:r>
    </w:p>
    <w:p w14:paraId="59D53CC1">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3.0.5 消火栓布置在货架、家具后方，不方便取用或影响消火栓箱门120°开启。</w:t>
      </w:r>
    </w:p>
    <w:p w14:paraId="64888D74">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宋体"/>
          <w:color w:val="000000"/>
          <w:sz w:val="28"/>
          <w:szCs w:val="28"/>
        </w:rPr>
        <w:t>依据：</w:t>
      </w:r>
      <w:r>
        <w:rPr>
          <w:rFonts w:hint="eastAsia" w:ascii="宋体" w:hAnsi="宋体" w:eastAsia="宋体" w:cstheme="minorEastAsia"/>
          <w:spacing w:val="-4"/>
          <w:sz w:val="28"/>
          <w:szCs w:val="28"/>
        </w:rPr>
        <w:t>《消防设施通用规范》GB55036-2022第3.0.5条第4款 室内消火栓的设置应方便使用和维护；</w:t>
      </w:r>
      <w:r>
        <w:rPr>
          <w:rFonts w:hint="eastAsia" w:ascii="宋体" w:hAnsi="宋体" w:eastAsia="宋体" w:cstheme="minorEastAsia"/>
          <w:color w:val="000000" w:themeColor="text1"/>
          <w:spacing w:val="-4"/>
          <w:sz w:val="28"/>
          <w:szCs w:val="28"/>
          <w14:textFill>
            <w14:solidFill>
              <w14:schemeClr w14:val="tx1"/>
            </w14:solidFill>
          </w14:textFill>
        </w:rPr>
        <w:t>《消防给水及消火栓系统技术规范》GB50974-2014第12.3.10条第4款 消火栓箱门的开启不应小于120°。</w:t>
      </w:r>
    </w:p>
    <w:p w14:paraId="65A79712">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案例：某商业项目，消火栓箱被货架或家具遮挡，无法开启或开启角度不足120°。</w:t>
      </w:r>
    </w:p>
    <w:p w14:paraId="695B7803">
      <w:pPr>
        <w:rPr>
          <w:rFonts w:hint="eastAsia" w:ascii="宋体" w:hAnsi="宋体" w:eastAsia="宋体" w:cstheme="minorEastAsia"/>
          <w:spacing w:val="-4"/>
          <w:sz w:val="28"/>
          <w:szCs w:val="28"/>
        </w:rPr>
      </w:pPr>
      <w:r>
        <w:rPr>
          <w:rFonts w:ascii="宋体" w:hAnsi="宋体" w:eastAsia="宋体" w:cs="宋体"/>
          <w:kern w:val="0"/>
          <w:sz w:val="24"/>
          <w:szCs w:val="24"/>
        </w:rPr>
        <w:drawing>
          <wp:inline distT="0" distB="0" distL="0" distR="0">
            <wp:extent cx="2004060" cy="2047875"/>
            <wp:effectExtent l="0" t="0" r="0" b="9525"/>
            <wp:docPr id="28" name="图片 9" descr="C:\Users\Administrator\AppData\Roaming\Tencent\Users\3604754\QQ\WinTemp\RichOle\_4`6_TP2H34S5C{C@QW827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descr="C:\Users\Administrator\AppData\Roaming\Tencent\Users\3604754\QQ\WinTemp\RichOle\_4`6_TP2H34S5C{C@QW827T.png"/>
                    <pic:cNvPicPr>
                      <a:picLocks noChangeAspect="1" noChangeArrowheads="1"/>
                    </pic:cNvPicPr>
                  </pic:nvPicPr>
                  <pic:blipFill>
                    <a:blip r:embed="rId54"/>
                    <a:srcRect/>
                    <a:stretch>
                      <a:fillRect/>
                    </a:stretch>
                  </pic:blipFill>
                  <pic:spPr>
                    <a:xfrm>
                      <a:off x="0" y="0"/>
                      <a:ext cx="2013246" cy="2057645"/>
                    </a:xfrm>
                    <a:prstGeom prst="rect">
                      <a:avLst/>
                    </a:prstGeom>
                    <a:noFill/>
                    <a:ln w="9525">
                      <a:noFill/>
                      <a:miter lim="800000"/>
                      <a:headEnd/>
                      <a:tailEnd/>
                    </a:ln>
                  </pic:spPr>
                </pic:pic>
              </a:graphicData>
            </a:graphic>
          </wp:inline>
        </w:drawing>
      </w:r>
      <w:r>
        <w:rPr>
          <w:rFonts w:hint="eastAsia" w:ascii="宋体" w:hAnsi="宋体" w:eastAsia="宋体" w:cstheme="minorEastAsia"/>
          <w:spacing w:val="-4"/>
          <w:sz w:val="28"/>
          <w:szCs w:val="28"/>
        </w:rPr>
        <w:t xml:space="preserve">    </w:t>
      </w:r>
      <w:r>
        <w:rPr>
          <w:rFonts w:ascii="宋体" w:hAnsi="宋体" w:eastAsia="宋体" w:cs="宋体"/>
          <w:kern w:val="0"/>
          <w:sz w:val="24"/>
          <w:szCs w:val="24"/>
        </w:rPr>
        <w:drawing>
          <wp:inline distT="0" distB="0" distL="0" distR="0">
            <wp:extent cx="2969260" cy="2011680"/>
            <wp:effectExtent l="0" t="0" r="2540" b="7620"/>
            <wp:docPr id="29" name="图片 11" descr="C:\Users\Administrator\AppData\Roaming\Tencent\Users\3604754\QQ\WinTemp\RichOle\4GP0)1{7]JAP46S5[2@($7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descr="C:\Users\Administrator\AppData\Roaming\Tencent\Users\3604754\QQ\WinTemp\RichOle\4GP0)1{7]JAP46S5[2@($7Y.png"/>
                    <pic:cNvPicPr>
                      <a:picLocks noChangeAspect="1" noChangeArrowheads="1"/>
                    </pic:cNvPicPr>
                  </pic:nvPicPr>
                  <pic:blipFill>
                    <a:blip r:embed="rId55"/>
                    <a:srcRect/>
                    <a:stretch>
                      <a:fillRect/>
                    </a:stretch>
                  </pic:blipFill>
                  <pic:spPr>
                    <a:xfrm>
                      <a:off x="0" y="0"/>
                      <a:ext cx="2991487" cy="2026326"/>
                    </a:xfrm>
                    <a:prstGeom prst="rect">
                      <a:avLst/>
                    </a:prstGeom>
                    <a:noFill/>
                    <a:ln w="9525">
                      <a:noFill/>
                      <a:miter lim="800000"/>
                      <a:headEnd/>
                      <a:tailEnd/>
                    </a:ln>
                  </pic:spPr>
                </pic:pic>
              </a:graphicData>
            </a:graphic>
          </wp:inline>
        </w:drawing>
      </w:r>
    </w:p>
    <w:p w14:paraId="315A28C3">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spacing w:val="-4"/>
          <w:sz w:val="28"/>
          <w:szCs w:val="28"/>
        </w:rPr>
        <w:t xml:space="preserve">3.0.6 </w:t>
      </w:r>
      <w:r>
        <w:rPr>
          <w:rFonts w:hint="eastAsia" w:ascii="宋体" w:hAnsi="宋体" w:eastAsia="宋体" w:cstheme="minorEastAsia"/>
          <w:color w:val="000000" w:themeColor="text1"/>
          <w:spacing w:val="-4"/>
          <w:sz w:val="28"/>
          <w:szCs w:val="28"/>
          <w14:textFill>
            <w14:solidFill>
              <w14:schemeClr w14:val="tx1"/>
            </w14:solidFill>
          </w14:textFill>
        </w:rPr>
        <w:t>新增消火栓的接管局部形成枝状管网。</w:t>
      </w:r>
    </w:p>
    <w:p w14:paraId="6ADA9595">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宋体"/>
          <w:color w:val="000000"/>
          <w:sz w:val="28"/>
          <w:szCs w:val="28"/>
        </w:rPr>
        <w:t>依据：</w:t>
      </w:r>
      <w:r>
        <w:rPr>
          <w:rFonts w:hint="eastAsia" w:ascii="宋体" w:hAnsi="宋体" w:eastAsia="宋体" w:cstheme="minorEastAsia"/>
          <w:color w:val="000000" w:themeColor="text1"/>
          <w:spacing w:val="-4"/>
          <w:sz w:val="28"/>
          <w:szCs w:val="28"/>
          <w14:textFill>
            <w14:solidFill>
              <w14:schemeClr w14:val="tx1"/>
            </w14:solidFill>
          </w14:textFill>
        </w:rPr>
        <w:t>《消防给水及消火栓系统技术规范》GB50974-2014第8.1.5条第1款 室内消火栓系统管网应布置成环状</w:t>
      </w:r>
      <w:r>
        <w:rPr>
          <w:rFonts w:hint="eastAsia" w:ascii="宋体" w:hAnsi="宋体" w:eastAsia="宋体" w:cstheme="minorEastAsia"/>
          <w:spacing w:val="-4"/>
          <w:sz w:val="28"/>
          <w:szCs w:val="28"/>
        </w:rPr>
        <w:t>……</w:t>
      </w:r>
      <w:r>
        <w:rPr>
          <w:rFonts w:hint="eastAsia" w:ascii="宋体" w:hAnsi="宋体" w:eastAsia="宋体" w:cstheme="minorEastAsia"/>
          <w:color w:val="000000" w:themeColor="text1"/>
          <w:spacing w:val="-4"/>
          <w:sz w:val="28"/>
          <w:szCs w:val="28"/>
          <w14:textFill>
            <w14:solidFill>
              <w14:schemeClr w14:val="tx1"/>
            </w14:solidFill>
          </w14:textFill>
        </w:rPr>
        <w:t>。</w:t>
      </w:r>
    </w:p>
    <w:p w14:paraId="5EA95FAD">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案例：某办公建筑因装修调整布局，新增了数个消火栓，其管道就近接自一根原有消火栓立管，且局部形成枝状管网。</w:t>
      </w:r>
    </w:p>
    <w:p w14:paraId="22C85514">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778375" cy="2533650"/>
            <wp:effectExtent l="0" t="0" r="3175" b="0"/>
            <wp:docPr id="31" name="图片 15" descr="C:\Users\Administrator\AppData\Roaming\Tencent\Users\3604754\QQ\WinTemp\RichOle\QKTHCN6F@MA@`OS3PO6JC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descr="C:\Users\Administrator\AppData\Roaming\Tencent\Users\3604754\QQ\WinTemp\RichOle\QKTHCN6F@MA@`OS3PO6JCJJ.png"/>
                    <pic:cNvPicPr>
                      <a:picLocks noChangeAspect="1" noChangeArrowheads="1"/>
                    </pic:cNvPicPr>
                  </pic:nvPicPr>
                  <pic:blipFill>
                    <a:blip r:embed="rId56"/>
                    <a:srcRect/>
                    <a:stretch>
                      <a:fillRect/>
                    </a:stretch>
                  </pic:blipFill>
                  <pic:spPr>
                    <a:xfrm>
                      <a:off x="0" y="0"/>
                      <a:ext cx="4819198" cy="2555076"/>
                    </a:xfrm>
                    <a:prstGeom prst="rect">
                      <a:avLst/>
                    </a:prstGeom>
                    <a:noFill/>
                    <a:ln w="9525">
                      <a:noFill/>
                      <a:miter lim="800000"/>
                      <a:headEnd/>
                      <a:tailEnd/>
                    </a:ln>
                  </pic:spPr>
                </pic:pic>
              </a:graphicData>
            </a:graphic>
          </wp:inline>
        </w:drawing>
      </w:r>
    </w:p>
    <w:p w14:paraId="7A74A2F3">
      <w:pPr>
        <w:widowControl/>
        <w:ind w:firstLine="960"/>
        <w:jc w:val="left"/>
        <w:rPr>
          <w:rFonts w:hint="eastAsia" w:ascii="宋体" w:hAnsi="宋体" w:eastAsia="宋体" w:cs="宋体"/>
          <w:kern w:val="0"/>
          <w:sz w:val="24"/>
          <w:szCs w:val="24"/>
        </w:rPr>
      </w:pPr>
    </w:p>
    <w:p w14:paraId="679C377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 xml:space="preserve">3.0.7 </w:t>
      </w:r>
      <w:r>
        <w:rPr>
          <w:rFonts w:hint="eastAsia" w:ascii="宋体" w:hAnsi="宋体" w:eastAsia="宋体" w:cstheme="minorEastAsia"/>
          <w:spacing w:val="-4"/>
          <w:sz w:val="28"/>
          <w:szCs w:val="28"/>
        </w:rPr>
        <w:t>消火栓栓口动压力大于0.50MPa，未设置减压装置</w:t>
      </w:r>
      <w:r>
        <w:rPr>
          <w:rFonts w:hint="eastAsia" w:ascii="宋体" w:hAnsi="宋体" w:eastAsia="宋体" w:cstheme="minorEastAsia"/>
          <w:sz w:val="28"/>
          <w:szCs w:val="28"/>
        </w:rPr>
        <w:t>。</w:t>
      </w:r>
    </w:p>
    <w:p w14:paraId="6F07CAEE">
      <w:pPr>
        <w:ind w:firstLine="560" w:firstLineChars="200"/>
        <w:rPr>
          <w:rFonts w:hint="eastAsia" w:ascii="宋体" w:hAnsi="宋体" w:eastAsia="宋体" w:cstheme="minorEastAsia"/>
          <w:spacing w:val="-4"/>
          <w:sz w:val="28"/>
          <w:szCs w:val="28"/>
        </w:rPr>
      </w:pPr>
      <w:r>
        <w:rPr>
          <w:rFonts w:hint="eastAsia" w:ascii="宋体" w:hAnsi="宋体" w:eastAsia="宋体" w:cs="宋体"/>
          <w:color w:val="000000"/>
          <w:sz w:val="28"/>
          <w:szCs w:val="28"/>
        </w:rPr>
        <w:t>依据：</w:t>
      </w:r>
      <w:r>
        <w:rPr>
          <w:rFonts w:hint="eastAsia" w:ascii="宋体" w:hAnsi="宋体" w:eastAsia="宋体" w:cstheme="minorEastAsia"/>
          <w:spacing w:val="-4"/>
          <w:sz w:val="28"/>
          <w:szCs w:val="28"/>
        </w:rPr>
        <w:t>《消防给水及消火栓系统技术规范》GB50974-2014第7.4.12条第1款 消火栓栓口动压力不应大于0.50MPa；当大于0.70MPa时必须设置减压装置。</w:t>
      </w:r>
    </w:p>
    <w:p w14:paraId="19010759">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案例：某项目装饰设计消火栓系统图中，标注消火栓管网接入点处压力为0.7MPa,未采用减压稳压型消火栓。</w:t>
      </w:r>
    </w:p>
    <w:p w14:paraId="5783909C">
      <w:pPr>
        <w:widowControl/>
        <w:ind w:firstLine="1200" w:firstLineChars="500"/>
        <w:jc w:val="left"/>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025900" cy="2133600"/>
            <wp:effectExtent l="0" t="0" r="0" b="0"/>
            <wp:docPr id="32" name="图片 17" descr="C:\Users\Administrator\AppData\Roaming\Tencent\Users\3604754\QQ\WinTemp\RichOle\1[@Z3__N{89EA{LAHP@421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7" descr="C:\Users\Administrator\AppData\Roaming\Tencent\Users\3604754\QQ\WinTemp\RichOle\1[@Z3__N{89EA{LAHP@421J.png"/>
                    <pic:cNvPicPr>
                      <a:picLocks noChangeAspect="1" noChangeArrowheads="1"/>
                    </pic:cNvPicPr>
                  </pic:nvPicPr>
                  <pic:blipFill>
                    <a:blip r:embed="rId57"/>
                    <a:srcRect/>
                    <a:stretch>
                      <a:fillRect/>
                    </a:stretch>
                  </pic:blipFill>
                  <pic:spPr>
                    <a:xfrm>
                      <a:off x="0" y="0"/>
                      <a:ext cx="4044244" cy="2143126"/>
                    </a:xfrm>
                    <a:prstGeom prst="rect">
                      <a:avLst/>
                    </a:prstGeom>
                    <a:noFill/>
                    <a:ln w="9525">
                      <a:noFill/>
                      <a:miter lim="800000"/>
                      <a:headEnd/>
                      <a:tailEnd/>
                    </a:ln>
                  </pic:spPr>
                </pic:pic>
              </a:graphicData>
            </a:graphic>
          </wp:inline>
        </w:drawing>
      </w:r>
    </w:p>
    <w:p w14:paraId="6D4FA21C">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 xml:space="preserve">3.0.8 </w:t>
      </w:r>
      <w:r>
        <w:rPr>
          <w:rFonts w:hint="eastAsia" w:ascii="宋体" w:hAnsi="宋体" w:eastAsia="宋体" w:cstheme="minorEastAsia"/>
          <w:color w:val="000000" w:themeColor="text1"/>
          <w:sz w:val="28"/>
          <w:szCs w:val="28"/>
          <w14:textFill>
            <w14:solidFill>
              <w14:schemeClr w14:val="tx1"/>
            </w14:solidFill>
          </w14:textFill>
        </w:rPr>
        <w:t>净空高度超过8m的空间，喷头间距大于3m，</w:t>
      </w:r>
      <w:r>
        <w:rPr>
          <w:rFonts w:hint="eastAsia" w:ascii="宋体" w:hAnsi="宋体" w:eastAsia="宋体" w:cstheme="minorEastAsia"/>
          <w:color w:val="000000" w:themeColor="text1"/>
          <w:spacing w:val="-4"/>
          <w:sz w:val="28"/>
          <w:szCs w:val="28"/>
          <w14:textFill>
            <w14:solidFill>
              <w14:schemeClr w14:val="tx1"/>
            </w14:solidFill>
          </w14:textFill>
        </w:rPr>
        <w:t>喷头流量系数采用K80，不满足喷水强度的要求。</w:t>
      </w:r>
    </w:p>
    <w:p w14:paraId="230B0C87">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《自动喷水灭火系统设计规范》GB50084-2017第5.0.2条 民用建筑和厂房高大空间场所采用湿式系统的设计基本参数不应低于表5.0.2的规定；1.8≤喷头间距S（m）≤3m。GB50084-2017表6.1.1，</w:t>
      </w:r>
      <w:r>
        <w:rPr>
          <w:rFonts w:hint="eastAsia" w:ascii="宋体" w:hAnsi="宋体" w:eastAsia="宋体" w:cstheme="minorEastAsia"/>
          <w:color w:val="000000" w:themeColor="text1"/>
          <w:sz w:val="28"/>
          <w:szCs w:val="28"/>
          <w14:textFill>
            <w14:solidFill>
              <w14:schemeClr w14:val="tx1"/>
            </w14:solidFill>
          </w14:textFill>
        </w:rPr>
        <w:t>净空8＜h≤18m的民用建筑和净空8＜h≤12m的厂房高大空间场所，喷头流量系数应≥115或采用非仓库型特殊应用喷头。</w:t>
      </w:r>
    </w:p>
    <w:p w14:paraId="79EC505C">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w:t>
      </w:r>
      <w:r>
        <w:rPr>
          <w:rFonts w:hint="eastAsia" w:ascii="宋体" w:hAnsi="宋体" w:eastAsia="宋体" w:cstheme="minorEastAsia"/>
          <w:color w:val="000000" w:themeColor="text1"/>
          <w:sz w:val="28"/>
          <w:szCs w:val="28"/>
          <w14:textFill>
            <w14:solidFill>
              <w14:schemeClr w14:val="tx1"/>
            </w14:solidFill>
          </w14:textFill>
        </w:rPr>
        <w:t>民用建筑</w:t>
      </w:r>
      <w:r>
        <w:rPr>
          <w:rFonts w:hint="eastAsia" w:ascii="宋体" w:hAnsi="宋体" w:eastAsia="宋体" w:cstheme="minorEastAsia"/>
          <w:color w:val="000000" w:themeColor="text1"/>
          <w:spacing w:val="-4"/>
          <w:sz w:val="28"/>
          <w:szCs w:val="28"/>
          <w14:textFill>
            <w14:solidFill>
              <w14:schemeClr w14:val="tx1"/>
            </w14:solidFill>
          </w14:textFill>
        </w:rPr>
        <w:t>两层通高的门厅处净高9.2m，喷头间距3.4m＞3m；采用K=80的普通喷头，喷水强度无法达到GB50084-2017表5.0.2的要求。</w:t>
      </w:r>
    </w:p>
    <w:p w14:paraId="79D3D7E6">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sz w:val="28"/>
          <w:szCs w:val="28"/>
        </w:rPr>
        <w:t xml:space="preserve">3.0.9 </w:t>
      </w:r>
      <w:r>
        <w:rPr>
          <w:rFonts w:hint="eastAsia" w:ascii="宋体" w:hAnsi="宋体" w:eastAsia="宋体" w:cstheme="minorEastAsia"/>
          <w:color w:val="000000" w:themeColor="text1"/>
          <w:spacing w:val="-4"/>
          <w:sz w:val="28"/>
          <w:szCs w:val="28"/>
          <w14:textFill>
            <w14:solidFill>
              <w14:schemeClr w14:val="tx1"/>
            </w14:solidFill>
          </w14:textFill>
        </w:rPr>
        <w:t>总建筑面积5000㎡及以上的商场项目，设置自喷系统的火灾危险等级选择错误。</w:t>
      </w:r>
    </w:p>
    <w:p w14:paraId="4F0E83C5">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《自动喷水灭火系统设计规范》GB50084-2017附录A 总建筑面积5000㎡及以上的商场或总建筑面积</w:t>
      </w:r>
      <w:r>
        <w:rPr>
          <w:rFonts w:ascii="宋体" w:hAnsi="宋体" w:eastAsia="宋体" w:cstheme="minorEastAsia"/>
          <w:color w:val="000000" w:themeColor="text1"/>
          <w:spacing w:val="-4"/>
          <w:sz w:val="28"/>
          <w:szCs w:val="28"/>
          <w14:textFill>
            <w14:solidFill>
              <w14:schemeClr w14:val="tx1"/>
            </w14:solidFill>
          </w14:textFill>
        </w:rPr>
        <w:t>1000</w:t>
      </w:r>
      <w:r>
        <w:rPr>
          <w:rFonts w:hint="eastAsia" w:ascii="宋体" w:hAnsi="宋体" w:eastAsia="宋体" w:cstheme="minorEastAsia"/>
          <w:color w:val="000000" w:themeColor="text1"/>
          <w:spacing w:val="-4"/>
          <w:sz w:val="28"/>
          <w:szCs w:val="28"/>
          <w14:textFill>
            <w14:solidFill>
              <w14:schemeClr w14:val="tx1"/>
            </w14:solidFill>
          </w14:textFill>
        </w:rPr>
        <w:t>㎡及以上的地下商场，设置自喷系统的火灾危险等级为中危险Ⅱ级，设计基本参数不应低于表5.0.1的规定。</w:t>
      </w:r>
    </w:p>
    <w:p w14:paraId="7AE20816">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案例：某商业装修设计部分的面积小于5000㎡，但其所在主体工程的商业总建筑面积超过5000㎡，自喷系统错误地按中危险Ⅰ级设计，设计喷水强度采用6 L/（min.㎡），喷头距端墙的距离为1.8m，喷头正方形布置时，边长为3.6m。</w:t>
      </w:r>
    </w:p>
    <w:p w14:paraId="4C5D26EF">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3.0.10 装修场所的喷头类别选用错误。</w:t>
      </w:r>
    </w:p>
    <w:p w14:paraId="2CAB6AE1">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spacing w:val="-4"/>
          <w:sz w:val="28"/>
          <w:szCs w:val="28"/>
        </w:rPr>
        <w:t>《消防设施通用规范》GB55036-2022第4.0.5条 洒水喷头应符合下列规定：5 建筑高度大于100m的公共建筑，其高层主体内设置的自动喷水灭火系统应采用快速响应喷头； 6 局部应用系统应采用快速响应喷头。</w:t>
      </w:r>
    </w:p>
    <w:p w14:paraId="472FFB3A">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《自动喷水灭火系统设计规范》GB50084-2017第6.1.3条 湿式系统的洒水喷头选型应符合下列规定：3 顶板为水平面的轻危险级、中危险级Ⅰ级住宅建筑、宿舍、旅馆建筑客房、医疗建筑病房和办公室，可采用边墙型洒水喷头；7不宜选用隐蔽式洒水喷头；确需采用时，应仅适用于轻危险级和中危险级Ⅰ级场所。</w:t>
      </w:r>
    </w:p>
    <w:p w14:paraId="16C5B079">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案例1：某建筑高度大于100m的公共建筑，其高层主体内的洒水喷头采用普通响应喷头。</w:t>
      </w:r>
    </w:p>
    <w:p w14:paraId="390FC19D">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案例2：某商业设置自喷系统的火灾危险等级为中危险Ⅱ级，采用隐蔽式喷头。</w:t>
      </w:r>
    </w:p>
    <w:p w14:paraId="2C836B98">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案例3：某旅馆项目，餐厅、厨房采用边墙型喷头。</w:t>
      </w:r>
    </w:p>
    <w:p w14:paraId="48C36B9A">
      <w:pPr>
        <w:widowControl/>
        <w:ind w:firstLine="120" w:firstLineChars="5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125085" cy="2524125"/>
            <wp:effectExtent l="0" t="0" r="0" b="0"/>
            <wp:docPr id="33" name="图片 19" descr="C:\Users\Administrator\AppData\Roaming\Tencent\Users\3604754\QQ\WinTemp\RichOle\3_Z0JNK[Q71[S1SHY0NXY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descr="C:\Users\Administrator\AppData\Roaming\Tencent\Users\3604754\QQ\WinTemp\RichOle\3_Z0JNK[Q71[S1SHY0NXY_D.png"/>
                    <pic:cNvPicPr>
                      <a:picLocks noChangeAspect="1" noChangeArrowheads="1"/>
                    </pic:cNvPicPr>
                  </pic:nvPicPr>
                  <pic:blipFill>
                    <a:blip r:embed="rId58"/>
                    <a:srcRect/>
                    <a:stretch>
                      <a:fillRect/>
                    </a:stretch>
                  </pic:blipFill>
                  <pic:spPr>
                    <a:xfrm>
                      <a:off x="0" y="0"/>
                      <a:ext cx="5148437" cy="2535534"/>
                    </a:xfrm>
                    <a:prstGeom prst="rect">
                      <a:avLst/>
                    </a:prstGeom>
                    <a:noFill/>
                    <a:ln w="9525">
                      <a:noFill/>
                      <a:miter lim="800000"/>
                      <a:headEnd/>
                      <a:tailEnd/>
                    </a:ln>
                  </pic:spPr>
                </pic:pic>
              </a:graphicData>
            </a:graphic>
          </wp:inline>
        </w:drawing>
      </w:r>
    </w:p>
    <w:p w14:paraId="0C03D46E">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3.0.11 喷头的动作温度选用错误。</w:t>
      </w:r>
    </w:p>
    <w:p w14:paraId="09F93F81">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《自动喷水灭火系统设计规范》GB50084-2017第6.1.2条 闭式系统的洒水喷头，其公称动作温度宜高于环境最高温度30℃。</w:t>
      </w:r>
    </w:p>
    <w:p w14:paraId="3A05EC8A">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案例1：某厨房非烹饪操作间内采用动作温度为93℃的喷头。</w:t>
      </w:r>
    </w:p>
    <w:p w14:paraId="10503836">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021580" cy="2352675"/>
            <wp:effectExtent l="0" t="0" r="7620" b="0"/>
            <wp:docPr id="34" name="图片 21" descr="C:\Users\Administrator\AppData\Roaming\Tencent\Users\3604754\QQ\WinTemp\RichOle\4VR[VFFP[]UH6LVZ)W]]3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descr="C:\Users\Administrator\AppData\Roaming\Tencent\Users\3604754\QQ\WinTemp\RichOle\4VR[VFFP[]UH6LVZ)W]]3TY.png"/>
                    <pic:cNvPicPr>
                      <a:picLocks noChangeAspect="1" noChangeArrowheads="1"/>
                    </pic:cNvPicPr>
                  </pic:nvPicPr>
                  <pic:blipFill>
                    <a:blip r:embed="rId59"/>
                    <a:srcRect/>
                    <a:stretch>
                      <a:fillRect/>
                    </a:stretch>
                  </pic:blipFill>
                  <pic:spPr>
                    <a:xfrm>
                      <a:off x="0" y="0"/>
                      <a:ext cx="5044352" cy="2363195"/>
                    </a:xfrm>
                    <a:prstGeom prst="rect">
                      <a:avLst/>
                    </a:prstGeom>
                    <a:noFill/>
                    <a:ln w="9525">
                      <a:noFill/>
                      <a:miter lim="800000"/>
                      <a:headEnd/>
                      <a:tailEnd/>
                    </a:ln>
                  </pic:spPr>
                </pic:pic>
              </a:graphicData>
            </a:graphic>
          </wp:inline>
        </w:drawing>
      </w:r>
    </w:p>
    <w:p w14:paraId="59A0CF8B">
      <w:pPr>
        <w:overflowPunct w:val="0"/>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3.0.12设置有通透性吊顶的场所，自喷系统的喷水强度取值错误且喷头</w:t>
      </w:r>
      <w:r>
        <w:rPr>
          <w:rFonts w:hint="eastAsia" w:ascii="宋体" w:hAnsi="宋体" w:eastAsia="宋体" w:cstheme="minorEastAsia"/>
          <w:color w:val="000000" w:themeColor="text1"/>
          <w:sz w:val="28"/>
          <w:szCs w:val="28"/>
          <w14:textFill>
            <w14:solidFill>
              <w14:schemeClr w14:val="tx1"/>
            </w14:solidFill>
          </w14:textFill>
        </w:rPr>
        <w:t>采用下垂型喷头</w:t>
      </w:r>
      <w:r>
        <w:rPr>
          <w:rFonts w:hint="eastAsia" w:ascii="宋体" w:hAnsi="宋体" w:eastAsia="宋体" w:cstheme="minorEastAsia"/>
          <w:color w:val="000000" w:themeColor="text1"/>
          <w:spacing w:val="-4"/>
          <w:sz w:val="28"/>
          <w:szCs w:val="28"/>
          <w14:textFill>
            <w14:solidFill>
              <w14:schemeClr w14:val="tx1"/>
            </w14:solidFill>
          </w14:textFill>
        </w:rPr>
        <w:t>。</w:t>
      </w:r>
    </w:p>
    <w:p w14:paraId="0946E7A2">
      <w:pPr>
        <w:overflowPunct w:val="0"/>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《自动喷水灭火系统设计规范》GB50084-2017第5.0.13条 装设网格、栅板类通透性吊顶的场所，系统的喷水强度应按本规范表5.0.1、表5.0.4-1～5.0.4-5规定值的1.3倍确定。</w:t>
      </w:r>
    </w:p>
    <w:p w14:paraId="0030E70E">
      <w:pPr>
        <w:overflowPunct w:val="0"/>
        <w:ind w:firstLine="560" w:firstLineChars="200"/>
        <w:rPr>
          <w:rFonts w:hint="eastAsia" w:ascii="宋体" w:hAnsi="宋体" w:eastAsia="宋体" w:cstheme="minorEastAsia"/>
          <w:color w:val="000000" w:themeColor="text1"/>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《自动喷水灭火系统设计规范》GB50084-2017第7.1.13条 装设网格、栅板类通透性吊顶的场所，当通透面积占吊顶总面积的比例大于70％时，喷头应设置在吊顶上方</w:t>
      </w:r>
      <w:r>
        <w:rPr>
          <w:rFonts w:hint="eastAsia" w:ascii="宋体" w:hAnsi="宋体" w:eastAsia="宋体" w:cstheme="minorEastAsia"/>
          <w:color w:val="000000" w:themeColor="text1"/>
          <w:spacing w:val="-4"/>
          <w:sz w:val="28"/>
          <w:szCs w:val="28"/>
          <w14:textFill>
            <w14:solidFill>
              <w14:schemeClr w14:val="tx1"/>
            </w14:solidFill>
          </w14:textFill>
        </w:rPr>
        <w:t>。</w:t>
      </w:r>
    </w:p>
    <w:p w14:paraId="6F1CB636">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案例：某中危险Ⅰ级场所设置有铝方通吊顶，其设计喷水强度采用6 L/（min.㎡），未考虑1.3倍系数；其通透面积占吊顶总面积的比例＞70%，错误地采用了下垂型喷头，应采用直立型喷头并设置于吊顶上方（如通透面积占吊顶总面积的比例≤70%，还应在吊顶下方补充设置带挡水板的下垂型喷头。）</w:t>
      </w:r>
    </w:p>
    <w:p w14:paraId="3B872350">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案例2：某商场发光橱窗内环境温度最高可达45~50℃，喷头动作温度仍按照常规采用68℃动作温度。</w:t>
      </w:r>
    </w:p>
    <w:p w14:paraId="4A62994A">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015230" cy="2249805"/>
            <wp:effectExtent l="0" t="0" r="0" b="0"/>
            <wp:docPr id="35" name="图片 23" descr="C:\Users\Administrator\AppData\Roaming\Tencent\Users\3604754\QQ\WinTemp\RichOle\VF10G%K[HC~63]X5ZJTG1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descr="C:\Users\Administrator\AppData\Roaming\Tencent\Users\3604754\QQ\WinTemp\RichOle\VF10G%K[HC~63]X5ZJTG13A.png"/>
                    <pic:cNvPicPr>
                      <a:picLocks noChangeAspect="1" noChangeArrowheads="1"/>
                    </pic:cNvPicPr>
                  </pic:nvPicPr>
                  <pic:blipFill>
                    <a:blip r:embed="rId60"/>
                    <a:srcRect/>
                    <a:stretch>
                      <a:fillRect/>
                    </a:stretch>
                  </pic:blipFill>
                  <pic:spPr>
                    <a:xfrm>
                      <a:off x="0" y="0"/>
                      <a:ext cx="5035385" cy="2259227"/>
                    </a:xfrm>
                    <a:prstGeom prst="rect">
                      <a:avLst/>
                    </a:prstGeom>
                    <a:noFill/>
                    <a:ln w="9525">
                      <a:noFill/>
                      <a:miter lim="800000"/>
                      <a:headEnd/>
                      <a:tailEnd/>
                    </a:ln>
                  </pic:spPr>
                </pic:pic>
              </a:graphicData>
            </a:graphic>
          </wp:inline>
        </w:drawing>
      </w:r>
    </w:p>
    <w:p w14:paraId="439F94EF">
      <w:pPr>
        <w:widowControl/>
        <w:jc w:val="left"/>
        <w:rPr>
          <w:rFonts w:hint="eastAsia" w:ascii="宋体" w:hAnsi="宋体" w:eastAsia="宋体" w:cstheme="minorEastAsia"/>
          <w:kern w:val="0"/>
          <w:sz w:val="28"/>
          <w:szCs w:val="28"/>
        </w:rPr>
      </w:pPr>
    </w:p>
    <w:p w14:paraId="5C2161A0">
      <w:pPr>
        <w:ind w:firstLine="544" w:firstLineChars="200"/>
        <w:rPr>
          <w:rFonts w:hint="eastAsia" w:ascii="宋体" w:hAnsi="宋体" w:eastAsia="宋体" w:cstheme="minorEastAsia"/>
          <w:color w:val="FF0000"/>
          <w:spacing w:val="-4"/>
          <w:sz w:val="28"/>
          <w:szCs w:val="28"/>
        </w:rPr>
      </w:pPr>
      <w:r>
        <w:rPr>
          <w:rFonts w:hint="eastAsia" w:ascii="宋体" w:hAnsi="宋体" w:eastAsia="宋体" w:cstheme="minorEastAsia"/>
          <w:color w:val="000000" w:themeColor="text1"/>
          <w:spacing w:val="-4"/>
          <w:sz w:val="28"/>
          <w:szCs w:val="28"/>
          <w14:textFill>
            <w14:solidFill>
              <w14:schemeClr w14:val="tx1"/>
            </w14:solidFill>
          </w14:textFill>
        </w:rPr>
        <w:t>3.0.13 喷头的洒水分布受障碍物影响。</w:t>
      </w:r>
    </w:p>
    <w:p w14:paraId="07AB17F0">
      <w:pPr>
        <w:widowControl/>
        <w:ind w:firstLine="548" w:firstLineChars="196"/>
        <w:jc w:val="left"/>
        <w:rPr>
          <w:rFonts w:hint="eastAsia" w:ascii="宋体" w:hAnsi="宋体" w:eastAsia="宋体" w:cstheme="minorEastAsia"/>
          <w:color w:val="000000" w:themeColor="text1"/>
          <w:kern w:val="0"/>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 7.2.1条 直立型、下垂型喷头与梁、通风管道等障碍物的距离宜符合表7.2.1的规定。与靠墙障碍物的距离应符合7.2.5条的规定。</w:t>
      </w:r>
    </w:p>
    <w:p w14:paraId="49C1F960">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案例：某台球室，喷头与下垂的吊顶底边高差约0.4m，喷头与下垂吊顶的水平距离小于1.5m。</w:t>
      </w:r>
    </w:p>
    <w:p w14:paraId="3188B1A4">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647565" cy="2114550"/>
            <wp:effectExtent l="0" t="0" r="635" b="0"/>
            <wp:docPr id="36" name="图片 25" descr="C:\Users\Administrator\AppData\Roaming\Tencent\Users\3604754\QQ\WinTemp\RichOle\3(D(_~6VWZI}_O[RHA_27B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5" descr="C:\Users\Administrator\AppData\Roaming\Tencent\Users\3604754\QQ\WinTemp\RichOle\3(D(_~6VWZI}_O[RHA_27BK.png"/>
                    <pic:cNvPicPr>
                      <a:picLocks noChangeAspect="1" noChangeArrowheads="1"/>
                    </pic:cNvPicPr>
                  </pic:nvPicPr>
                  <pic:blipFill>
                    <a:blip r:embed="rId61"/>
                    <a:srcRect/>
                    <a:stretch>
                      <a:fillRect/>
                    </a:stretch>
                  </pic:blipFill>
                  <pic:spPr>
                    <a:xfrm>
                      <a:off x="0" y="0"/>
                      <a:ext cx="4673063" cy="2126119"/>
                    </a:xfrm>
                    <a:prstGeom prst="rect">
                      <a:avLst/>
                    </a:prstGeom>
                    <a:noFill/>
                    <a:ln w="9525">
                      <a:noFill/>
                      <a:miter lim="800000"/>
                      <a:headEnd/>
                      <a:tailEnd/>
                    </a:ln>
                  </pic:spPr>
                </pic:pic>
              </a:graphicData>
            </a:graphic>
          </wp:inline>
        </w:drawing>
      </w:r>
    </w:p>
    <w:p w14:paraId="619EC6AA">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3.0.14设置单排洒水喷头的走道，其洒水喷头间距不满足地面不留漏喷空白点的要求。</w:t>
      </w:r>
    </w:p>
    <w:p w14:paraId="23385BF9">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自动喷水灭火系统设计规范》GB50084-2017表7.1.2注1 设置单排洒水喷头的闭式系统，其洒水喷头间距应按地面不留漏喷空白点确定。</w:t>
      </w:r>
    </w:p>
    <w:p w14:paraId="442D2EBB">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案例：某装修项目</w:t>
      </w:r>
      <w:r>
        <w:rPr>
          <w:rFonts w:hint="eastAsia" w:ascii="宋体" w:hAnsi="宋体" w:eastAsia="宋体" w:cstheme="minorEastAsia"/>
          <w:spacing w:val="-4"/>
          <w:sz w:val="28"/>
          <w:szCs w:val="28"/>
        </w:rPr>
        <w:t>（中危险I级）</w:t>
      </w:r>
      <w:r>
        <w:rPr>
          <w:rFonts w:hint="eastAsia" w:ascii="宋体" w:hAnsi="宋体" w:eastAsia="宋体" w:cstheme="minorEastAsia"/>
          <w:color w:val="000000" w:themeColor="text1"/>
          <w:spacing w:val="-4"/>
          <w:sz w:val="28"/>
          <w:szCs w:val="28"/>
          <w14:textFill>
            <w14:solidFill>
              <w14:schemeClr w14:val="tx1"/>
            </w14:solidFill>
          </w14:textFill>
        </w:rPr>
        <w:t>的走道设置单排洒水喷头，地面留有漏喷空白点。</w:t>
      </w:r>
    </w:p>
    <w:p w14:paraId="14669C85">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091430" cy="1690370"/>
            <wp:effectExtent l="0" t="0" r="0" b="5080"/>
            <wp:docPr id="38" name="图片 29" descr="C:\Users\Administrator\AppData\Roaming\Tencent\Users\3604754\QQ\WinTemp\RichOle\7G2PTM~67C25V5A37}CZM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9" descr="C:\Users\Administrator\AppData\Roaming\Tencent\Users\3604754\QQ\WinTemp\RichOle\7G2PTM~67C25V5A37}CZM_D.png"/>
                    <pic:cNvPicPr>
                      <a:picLocks noChangeAspect="1" noChangeArrowheads="1"/>
                    </pic:cNvPicPr>
                  </pic:nvPicPr>
                  <pic:blipFill>
                    <a:blip r:embed="rId62"/>
                    <a:srcRect/>
                    <a:stretch>
                      <a:fillRect/>
                    </a:stretch>
                  </pic:blipFill>
                  <pic:spPr>
                    <a:xfrm>
                      <a:off x="0" y="0"/>
                      <a:ext cx="5115134" cy="1698523"/>
                    </a:xfrm>
                    <a:prstGeom prst="rect">
                      <a:avLst/>
                    </a:prstGeom>
                    <a:noFill/>
                    <a:ln w="9525">
                      <a:noFill/>
                      <a:miter lim="800000"/>
                      <a:headEnd/>
                      <a:tailEnd/>
                    </a:ln>
                  </pic:spPr>
                </pic:pic>
              </a:graphicData>
            </a:graphic>
          </wp:inline>
        </w:drawing>
      </w:r>
    </w:p>
    <w:p w14:paraId="3F8F52F6">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3.0.15 喷淋平面图中未预留非装修区域的喷淋管道。</w:t>
      </w:r>
    </w:p>
    <w:p w14:paraId="786E8D7E">
      <w:pPr>
        <w:ind w:firstLine="560"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z w:val="28"/>
          <w:szCs w:val="28"/>
          <w14:textFill>
            <w14:solidFill>
              <w14:schemeClr w14:val="tx1"/>
            </w14:solidFill>
          </w14:textFill>
        </w:rPr>
        <w:t>依据：</w:t>
      </w:r>
      <w:r>
        <w:rPr>
          <w:rFonts w:hint="eastAsia" w:ascii="宋体" w:hAnsi="宋体" w:eastAsia="宋体" w:cstheme="minorEastAsia"/>
          <w:color w:val="000000" w:themeColor="text1"/>
          <w:spacing w:val="-4"/>
          <w:sz w:val="28"/>
          <w:szCs w:val="28"/>
          <w14:textFill>
            <w14:solidFill>
              <w14:schemeClr w14:val="tx1"/>
            </w14:solidFill>
          </w14:textFill>
        </w:rPr>
        <w:t>《自动喷水灭火系统设计规范》GB50084-2017第8.0.7条 管道的直径应经水力计算确定；表8.0.9规定了配水支管控制的标准流量洒水喷头数量。</w:t>
      </w:r>
    </w:p>
    <w:p w14:paraId="44370AB7">
      <w:pPr>
        <w:ind w:firstLine="544" w:firstLineChars="200"/>
        <w:rPr>
          <w:rFonts w:hint="eastAsia" w:ascii="宋体" w:hAnsi="宋体" w:eastAsia="宋体" w:cstheme="minorEastAsia"/>
          <w:color w:val="000000" w:themeColor="text1"/>
          <w:spacing w:val="-4"/>
          <w:sz w:val="28"/>
          <w:szCs w:val="28"/>
          <w14:textFill>
            <w14:solidFill>
              <w14:schemeClr w14:val="tx1"/>
            </w14:solidFill>
          </w14:textFill>
        </w:rPr>
      </w:pPr>
      <w:r>
        <w:rPr>
          <w:rFonts w:hint="eastAsia" w:ascii="宋体" w:hAnsi="宋体" w:eastAsia="宋体" w:cstheme="minorEastAsia"/>
          <w:color w:val="000000" w:themeColor="text1"/>
          <w:spacing w:val="-4"/>
          <w:sz w:val="28"/>
          <w:szCs w:val="28"/>
          <w14:textFill>
            <w14:solidFill>
              <w14:schemeClr w14:val="tx1"/>
            </w14:solidFill>
          </w14:textFill>
        </w:rPr>
        <w:t>案例：某项目存在非装饰区域被装饰区域包围的情况，设计仅表达了装饰区域内的喷头及管道布置，非装饰区域未预留自喷配水管，导致前端配水管管径不足。</w:t>
      </w:r>
    </w:p>
    <w:p w14:paraId="0EA2F6B6">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987290" cy="2167890"/>
            <wp:effectExtent l="0" t="0" r="3810" b="3810"/>
            <wp:docPr id="39" name="图片 31" descr="C:\Users\Administrator\AppData\Roaming\Tencent\Users\3604754\QQ\WinTemp\RichOle\H`@DDXUYF~7@4R$USZGNJ7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descr="C:\Users\Administrator\AppData\Roaming\Tencent\Users\3604754\QQ\WinTemp\RichOle\H`@DDXUYF~7@4R$USZGNJ7U.png"/>
                    <pic:cNvPicPr>
                      <a:picLocks noChangeAspect="1" noChangeArrowheads="1"/>
                    </pic:cNvPicPr>
                  </pic:nvPicPr>
                  <pic:blipFill>
                    <a:blip r:embed="rId63"/>
                    <a:srcRect/>
                    <a:stretch>
                      <a:fillRect/>
                    </a:stretch>
                  </pic:blipFill>
                  <pic:spPr>
                    <a:xfrm>
                      <a:off x="0" y="0"/>
                      <a:ext cx="5013535" cy="2179568"/>
                    </a:xfrm>
                    <a:prstGeom prst="rect">
                      <a:avLst/>
                    </a:prstGeom>
                    <a:noFill/>
                    <a:ln w="9525">
                      <a:noFill/>
                      <a:miter lim="800000"/>
                      <a:headEnd/>
                      <a:tailEnd/>
                    </a:ln>
                  </pic:spPr>
                </pic:pic>
              </a:graphicData>
            </a:graphic>
          </wp:inline>
        </w:drawing>
      </w:r>
    </w:p>
    <w:p w14:paraId="1CDF4AA2">
      <w:pPr>
        <w:ind w:firstLine="544" w:firstLineChars="200"/>
        <w:rPr>
          <w:rFonts w:hint="eastAsia" w:ascii="宋体" w:hAnsi="宋体" w:eastAsia="宋体" w:cstheme="minorEastAsia"/>
          <w:spacing w:val="-4"/>
          <w:sz w:val="28"/>
          <w:szCs w:val="28"/>
        </w:rPr>
      </w:pPr>
      <w:r>
        <w:rPr>
          <w:rFonts w:hint="eastAsia" w:ascii="宋体" w:hAnsi="宋体" w:eastAsia="宋体" w:cstheme="minorEastAsia"/>
          <w:color w:val="000000" w:themeColor="text1"/>
          <w:spacing w:val="-4"/>
          <w:sz w:val="28"/>
          <w:szCs w:val="28"/>
          <w14:textFill>
            <w14:solidFill>
              <w14:schemeClr w14:val="tx1"/>
            </w14:solidFill>
          </w14:textFill>
        </w:rPr>
        <w:t xml:space="preserve">3.0.16 </w:t>
      </w:r>
      <w:r>
        <w:rPr>
          <w:rFonts w:hint="eastAsia" w:ascii="宋体" w:hAnsi="宋体" w:eastAsia="宋体" w:cstheme="minorEastAsia"/>
          <w:spacing w:val="-4"/>
          <w:sz w:val="28"/>
          <w:szCs w:val="28"/>
        </w:rPr>
        <w:t>喷淋系统末端试水类型设置错误。</w:t>
      </w:r>
    </w:p>
    <w:p w14:paraId="3D3EEA44">
      <w:pPr>
        <w:ind w:firstLine="560" w:firstLineChars="200"/>
        <w:rPr>
          <w:rFonts w:hint="eastAsia" w:ascii="宋体" w:hAnsi="宋体" w:eastAsia="宋体" w:cstheme="minorEastAsia"/>
          <w:spacing w:val="-4"/>
          <w:sz w:val="28"/>
          <w:szCs w:val="28"/>
        </w:rPr>
      </w:pPr>
      <w:r>
        <w:rPr>
          <w:rFonts w:hint="eastAsia" w:ascii="宋体" w:hAnsi="宋体" w:eastAsia="宋体" w:cstheme="minorEastAsia"/>
          <w:sz w:val="28"/>
          <w:szCs w:val="28"/>
        </w:rPr>
        <w:t>依据：</w:t>
      </w:r>
      <w:r>
        <w:rPr>
          <w:rFonts w:hint="eastAsia" w:ascii="宋体" w:hAnsi="宋体" w:eastAsia="宋体" w:cstheme="minorEastAsia"/>
          <w:spacing w:val="-4"/>
          <w:sz w:val="28"/>
          <w:szCs w:val="28"/>
        </w:rPr>
        <w:t>《消防设施通用规范》GB55036-2021第4.0.6条 每个报警阀组控制的供水管网水力计算最不利点洒水喷头处应设置末端试水装置，其他防火分区、楼层均应设置DN25的试水阀。末端试水装置应具有压力显示功能，并应设置相应的排水设施。</w:t>
      </w:r>
    </w:p>
    <w:p w14:paraId="31ADFC22">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案例：某项目装饰设计喷淋系统原理图中，报警阀最不利洒水喷头处未设置末端试水装置，采用末端试水阀。</w:t>
      </w:r>
    </w:p>
    <w:p w14:paraId="7AAE7E7D">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4932045" cy="2159635"/>
            <wp:effectExtent l="0" t="0" r="1905" b="0"/>
            <wp:docPr id="40" name="图片 33" descr="C:\Users\Administrator\AppData\Roaming\Tencent\Users\3604754\QQ\WinTemp\RichOle\`PX%[$08KH@N)B1C}J7I{$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3" descr="C:\Users\Administrator\AppData\Roaming\Tencent\Users\3604754\QQ\WinTemp\RichOle\`PX%[$08KH@N)B1C}J7I{$9.png"/>
                    <pic:cNvPicPr>
                      <a:picLocks noChangeAspect="1" noChangeArrowheads="1"/>
                    </pic:cNvPicPr>
                  </pic:nvPicPr>
                  <pic:blipFill>
                    <a:blip r:embed="rId64"/>
                    <a:srcRect/>
                    <a:stretch>
                      <a:fillRect/>
                    </a:stretch>
                  </pic:blipFill>
                  <pic:spPr>
                    <a:xfrm>
                      <a:off x="0" y="0"/>
                      <a:ext cx="4968293" cy="2175472"/>
                    </a:xfrm>
                    <a:prstGeom prst="rect">
                      <a:avLst/>
                    </a:prstGeom>
                    <a:noFill/>
                    <a:ln w="9525">
                      <a:noFill/>
                      <a:miter lim="800000"/>
                      <a:headEnd/>
                      <a:tailEnd/>
                    </a:ln>
                  </pic:spPr>
                </pic:pic>
              </a:graphicData>
            </a:graphic>
          </wp:inline>
        </w:drawing>
      </w:r>
    </w:p>
    <w:p w14:paraId="13376EF5">
      <w:pPr>
        <w:ind w:firstLine="560" w:firstLineChars="200"/>
        <w:rPr>
          <w:rFonts w:hint="eastAsia" w:ascii="宋体" w:hAnsi="宋体" w:eastAsia="宋体" w:cstheme="minorEastAsia"/>
          <w:spacing w:val="-4"/>
          <w:sz w:val="28"/>
          <w:szCs w:val="28"/>
        </w:rPr>
      </w:pPr>
      <w:r>
        <w:rPr>
          <w:rFonts w:hint="eastAsia" w:ascii="宋体" w:hAnsi="宋体" w:eastAsia="宋体" w:cstheme="minorEastAsia"/>
          <w:sz w:val="28"/>
          <w:szCs w:val="28"/>
        </w:rPr>
        <w:t xml:space="preserve">3.0.17 </w:t>
      </w:r>
      <w:r>
        <w:rPr>
          <w:rFonts w:hint="eastAsia" w:ascii="宋体" w:hAnsi="宋体" w:eastAsia="宋体" w:cstheme="minorEastAsia"/>
          <w:spacing w:val="-4"/>
          <w:sz w:val="28"/>
          <w:szCs w:val="28"/>
        </w:rPr>
        <w:t>厨房烹饪操作间的油烟罩及烹饪区未按规范要求设置自动灭火装置。</w:t>
      </w:r>
    </w:p>
    <w:p w14:paraId="50A8760F">
      <w:pPr>
        <w:ind w:firstLine="560" w:firstLineChars="200"/>
        <w:rPr>
          <w:rFonts w:hint="eastAsia" w:ascii="宋体" w:hAnsi="宋体" w:eastAsia="宋体" w:cstheme="minorEastAsia"/>
          <w:spacing w:val="-4"/>
          <w:sz w:val="28"/>
          <w:szCs w:val="28"/>
        </w:rPr>
      </w:pPr>
      <w:r>
        <w:rPr>
          <w:rFonts w:hint="eastAsia" w:ascii="宋体" w:hAnsi="宋体" w:eastAsia="宋体" w:cstheme="minorEastAsia"/>
          <w:sz w:val="28"/>
          <w:szCs w:val="28"/>
        </w:rPr>
        <w:t>依据：</w:t>
      </w:r>
      <w:r>
        <w:rPr>
          <w:rFonts w:hint="eastAsia" w:ascii="宋体" w:hAnsi="宋体" w:eastAsia="宋体" w:cstheme="minorEastAsia"/>
          <w:spacing w:val="-4"/>
          <w:sz w:val="28"/>
          <w:szCs w:val="28"/>
        </w:rPr>
        <w:t>《建筑设计防火规范》GB50016-2014(2018年版）第8.3.11条 餐厅建筑面积大于1000m</w:t>
      </w:r>
      <w:r>
        <w:rPr>
          <w:rFonts w:hint="eastAsia" w:ascii="宋体" w:hAnsi="宋体" w:eastAsia="宋体" w:cstheme="minorEastAsia"/>
          <w:spacing w:val="-4"/>
          <w:sz w:val="28"/>
          <w:szCs w:val="28"/>
          <w:vertAlign w:val="superscript"/>
        </w:rPr>
        <w:t>2</w:t>
      </w:r>
      <w:r>
        <w:rPr>
          <w:rFonts w:hint="eastAsia" w:ascii="宋体" w:hAnsi="宋体" w:eastAsia="宋体" w:cstheme="minorEastAsia"/>
          <w:spacing w:val="-4"/>
          <w:sz w:val="28"/>
          <w:szCs w:val="28"/>
        </w:rPr>
        <w:t>的餐馆或食堂，其烹饪操作间的排油烟罩及烹饪部位应设置自动灭火装置，并应在燃气或燃油管道上设置与自动灭火装置联动的自动切断装置。</w:t>
      </w:r>
    </w:p>
    <w:p w14:paraId="69C5FB1B">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案例：某餐厅装修建筑面积约1200m</w:t>
      </w:r>
      <w:r>
        <w:rPr>
          <w:rFonts w:hint="eastAsia" w:ascii="宋体" w:hAnsi="宋体" w:eastAsia="宋体" w:cstheme="minorEastAsia"/>
          <w:spacing w:val="-4"/>
          <w:sz w:val="28"/>
          <w:szCs w:val="28"/>
          <w:vertAlign w:val="superscript"/>
        </w:rPr>
        <w:t>2</w:t>
      </w:r>
      <w:r>
        <w:rPr>
          <w:rFonts w:hint="eastAsia" w:ascii="宋体" w:hAnsi="宋体" w:eastAsia="宋体" w:cstheme="minorEastAsia"/>
          <w:spacing w:val="-4"/>
          <w:sz w:val="28"/>
          <w:szCs w:val="28"/>
        </w:rPr>
        <w:t>，设计说明及厨房平面布置图中均未表达设置自动灭火装置的相关内容。</w:t>
      </w:r>
    </w:p>
    <w:p w14:paraId="6B3F3CF5">
      <w:pPr>
        <w:ind w:firstLine="1088"/>
        <w:rPr>
          <w:rFonts w:hint="eastAsia" w:ascii="宋体" w:hAnsi="宋体" w:eastAsia="宋体" w:cstheme="minorEastAsia"/>
          <w:spacing w:val="-4"/>
          <w:sz w:val="28"/>
          <w:szCs w:val="28"/>
        </w:rPr>
      </w:pPr>
    </w:p>
    <w:p w14:paraId="74127065">
      <w:pPr>
        <w:jc w:val="center"/>
        <w:rPr>
          <w:rFonts w:hint="eastAsia" w:ascii="宋体" w:hAnsi="宋体" w:eastAsia="宋体" w:cs="Times New Roman"/>
          <w:sz w:val="32"/>
          <w:szCs w:val="32"/>
        </w:rPr>
      </w:pPr>
      <w:r>
        <w:rPr>
          <w:rFonts w:hint="eastAsia" w:ascii="宋体" w:hAnsi="宋体" w:eastAsia="宋体" w:cs="Times New Roman"/>
          <w:sz w:val="32"/>
          <w:szCs w:val="32"/>
        </w:rPr>
        <w:t>4 电气</w:t>
      </w:r>
    </w:p>
    <w:p w14:paraId="026EDA64">
      <w:pPr>
        <w:ind w:firstLine="560" w:firstLineChars="200"/>
        <w:jc w:val="left"/>
        <w:rPr>
          <w:rFonts w:hint="eastAsia" w:ascii="宋体" w:hAnsi="宋体" w:eastAsia="宋体" w:cs="宋体"/>
        </w:rPr>
      </w:pPr>
      <w:r>
        <w:rPr>
          <w:rFonts w:hint="eastAsia" w:ascii="宋体" w:hAnsi="宋体" w:eastAsia="宋体" w:cs="宋体"/>
          <w:color w:val="000000"/>
          <w:sz w:val="28"/>
        </w:rPr>
        <w:t>4.0.1 电气消防设计说明，不满足</w:t>
      </w:r>
      <w:r>
        <w:rPr>
          <w:rFonts w:hint="eastAsia" w:ascii="宋体" w:hAnsi="宋体" w:eastAsia="宋体" w:cstheme="minorEastAsia"/>
          <w:sz w:val="28"/>
          <w:szCs w:val="28"/>
        </w:rPr>
        <w:t>《重庆市建筑内部装修工程施工图消防设计文件编制技术规定》</w:t>
      </w:r>
      <w:r>
        <w:rPr>
          <w:rFonts w:ascii="宋体" w:hAnsi="宋体" w:eastAsia="宋体"/>
        </w:rPr>
        <w:commentReference w:id="4"/>
      </w:r>
      <w:r>
        <w:rPr>
          <w:rFonts w:hint="eastAsia" w:ascii="宋体" w:hAnsi="宋体" w:eastAsia="宋体" w:cs="宋体"/>
          <w:color w:val="000000"/>
          <w:sz w:val="28"/>
        </w:rPr>
        <w:t>编制深度要求。</w:t>
      </w:r>
    </w:p>
    <w:p w14:paraId="71BCE00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w:t>
      </w:r>
      <w:r>
        <w:rPr>
          <w:rFonts w:hint="eastAsia" w:ascii="宋体" w:hAnsi="宋体" w:eastAsia="宋体" w:cstheme="minorEastAsia"/>
          <w:sz w:val="28"/>
          <w:szCs w:val="28"/>
        </w:rPr>
        <w:t>《重庆市建筑内部装修工程施工图消防设计文件编制技术规定》</w:t>
      </w:r>
      <w:r>
        <w:rPr>
          <w:rFonts w:ascii="宋体" w:hAnsi="宋体" w:eastAsia="宋体"/>
        </w:rPr>
        <w:commentReference w:id="5"/>
      </w:r>
      <w:r>
        <w:rPr>
          <w:rFonts w:hint="eastAsia" w:ascii="宋体" w:hAnsi="宋体" w:eastAsia="宋体" w:cstheme="minorEastAsia"/>
          <w:sz w:val="28"/>
          <w:szCs w:val="28"/>
        </w:rPr>
        <w:t>要求</w:t>
      </w:r>
      <w:r>
        <w:rPr>
          <w:rFonts w:hint="eastAsia" w:ascii="宋体" w:hAnsi="宋体" w:eastAsia="宋体" w:cs="宋体"/>
          <w:color w:val="000000"/>
          <w:sz w:val="28"/>
        </w:rPr>
        <w:t>工程概况应包括下列内容：</w:t>
      </w:r>
    </w:p>
    <w:p w14:paraId="75EA709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1说明工程概况,内容应包括建设单位、建筑名称、建设地点、使用用途、规模(面积、建筑高度、层数)、主体工程施工图审查合格备案时间(或主体建筑竣工验收时间)、主体结构形式等；</w:t>
      </w:r>
    </w:p>
    <w:p w14:paraId="3DEF1752">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2 建筑防火分类；</w:t>
      </w:r>
    </w:p>
    <w:p w14:paraId="185E680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3建筑物装修范围；</w:t>
      </w:r>
    </w:p>
    <w:p w14:paraId="78C89F37">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4说明原建筑电气消防设计情况及内部装修后在消防设备配电、消防应急照明与疏散指示系统、火灾自动报警系统、电气火灾监控系统、消防设备电源监控系统、防火门监控系统等方面的设计及改动情况。</w:t>
      </w:r>
    </w:p>
    <w:p w14:paraId="4390EB4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案例：某公共建筑装饰工程设计说明如下：</w:t>
      </w:r>
    </w:p>
    <w:p w14:paraId="299FDF96">
      <w:pPr>
        <w:ind w:firstLine="560" w:firstLineChars="200"/>
        <w:rPr>
          <w:rFonts w:hint="eastAsia" w:ascii="宋体" w:hAnsi="宋体" w:eastAsia="宋体" w:cs="宋体"/>
          <w:color w:val="000000"/>
          <w:sz w:val="28"/>
        </w:rPr>
      </w:pPr>
      <w:r>
        <w:rPr>
          <w:rFonts w:ascii="宋体" w:hAnsi="宋体" w:eastAsia="宋体" w:cs="宋体"/>
          <w:color w:val="000000"/>
          <w:sz w:val="28"/>
        </w:rPr>
        <w:t xml:space="preserve"> </w:t>
      </w:r>
      <w:r>
        <w:rPr>
          <w:rFonts w:ascii="宋体" w:hAnsi="宋体" w:eastAsia="宋体"/>
        </w:rPr>
        <w:drawing>
          <wp:inline distT="0" distB="0" distL="0" distR="0">
            <wp:extent cx="4410075" cy="1953260"/>
            <wp:effectExtent l="0" t="0" r="9525" b="889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5"/>
                    <a:stretch>
                      <a:fillRect/>
                    </a:stretch>
                  </pic:blipFill>
                  <pic:spPr>
                    <a:xfrm>
                      <a:off x="0" y="0"/>
                      <a:ext cx="4449885" cy="1970877"/>
                    </a:xfrm>
                    <a:prstGeom prst="rect">
                      <a:avLst/>
                    </a:prstGeom>
                  </pic:spPr>
                </pic:pic>
              </a:graphicData>
            </a:graphic>
          </wp:inline>
        </w:drawing>
      </w:r>
    </w:p>
    <w:p w14:paraId="75514592">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该设计说明：未明确本工程所在主体建筑的使用用途、规模(面积、建筑高度、层数)、主体工程施工图审查合格备案时间（或主体工程竣工验收时间），装修设计范围交待不清，消防各系统改动情况及界面接口情况表述不清。</w:t>
      </w:r>
    </w:p>
    <w:p w14:paraId="49E6E833">
      <w:pPr>
        <w:ind w:firstLine="560" w:firstLineChars="200"/>
        <w:rPr>
          <w:rFonts w:hint="eastAsia" w:ascii="宋体" w:hAnsi="宋体" w:eastAsia="宋体" w:cs="宋体"/>
        </w:rPr>
      </w:pPr>
      <w:r>
        <w:rPr>
          <w:rFonts w:hint="eastAsia" w:ascii="宋体" w:hAnsi="宋体" w:eastAsia="宋体" w:cs="宋体"/>
          <w:color w:val="000000"/>
          <w:sz w:val="28"/>
        </w:rPr>
        <w:t>4.0.2 公共建筑中使用燃气的厨房未设置可燃气体探测报警装置。</w:t>
      </w:r>
    </w:p>
    <w:p w14:paraId="3A66D79A">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依据：《建筑防火通用规范》GB 55037-2022第8.3.3条 除住宅建筑的燃气用气部位外，建筑内可能散发可燃气体、可燃蒸气的场所应设置可燃气体探测报警装置。</w:t>
      </w:r>
    </w:p>
    <w:p w14:paraId="1669F81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《燃气工程项目规范》GB55009-2021第6.2.1条，商业燃具或用气设备应设置在通风良好、符合安全使用条件且便于维护操作的场所，并应设置燃气泄漏报警和切断等安全装置。</w:t>
      </w:r>
    </w:p>
    <w:p w14:paraId="7A5ED587">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《建筑设计防火规范》GB 50016-2014（2018年版）第8.4.3条，建筑物内可能散发可燃气体、可燃蒸气的场所应设置可燃气体报警装置。</w:t>
      </w:r>
    </w:p>
    <w:p w14:paraId="23329A13">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案例：某学校食堂的厨房，采用的能源为天燃气，未设置可燃气体报警装置：</w:t>
      </w:r>
    </w:p>
    <w:p w14:paraId="25F87E41">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70528" behindDoc="0" locked="0" layoutInCell="1" allowOverlap="1">
            <wp:simplePos x="0" y="0"/>
            <wp:positionH relativeFrom="margin">
              <wp:align>center</wp:align>
            </wp:positionH>
            <wp:positionV relativeFrom="paragraph">
              <wp:posOffset>13335</wp:posOffset>
            </wp:positionV>
            <wp:extent cx="4312285" cy="2070100"/>
            <wp:effectExtent l="0" t="0" r="0" b="6350"/>
            <wp:wrapTopAndBottom/>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4315885" cy="2071929"/>
                    </a:xfrm>
                    <a:prstGeom prst="rect">
                      <a:avLst/>
                    </a:prstGeom>
                  </pic:spPr>
                </pic:pic>
              </a:graphicData>
            </a:graphic>
          </wp:anchor>
        </w:drawing>
      </w:r>
      <w:r>
        <w:rPr>
          <w:rFonts w:hint="eastAsia" w:ascii="宋体" w:hAnsi="宋体" w:eastAsia="宋体" w:cs="宋体"/>
          <w:color w:val="000000"/>
          <w:sz w:val="28"/>
        </w:rPr>
        <w:t>4.0.3  火灾报警系统探测器的设置，未考虑墙壁、梁边、遮挡物、风口影响。</w:t>
      </w:r>
    </w:p>
    <w:p w14:paraId="49103EB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依据：《火灾自动报警系统设计规范》GB 50116-2013第6.2.5条 点型探测器至墙壁、梁边的水平距离，不应小于O.5m。 第6.2.6条 点型探测器周围O.5m内，不应有遮挡物。 第6.2.8条 点型探测器至空调送风口边的水平距离不应小于1.5m，并宜接近回风口安装。探测器至多孔送风顶棚孔口的水平距离不应小于O.5m。</w:t>
      </w:r>
    </w:p>
    <w:p w14:paraId="0F4371D7">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19DX101-1《建筑电气常用数据》P12-5要求：</w:t>
      </w:r>
    </w:p>
    <w:p w14:paraId="2972F9C8">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4606290" cy="2171700"/>
            <wp:effectExtent l="0" t="0" r="381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图片 1058"/>
                    <pic:cNvPicPr>
                      <a:picLocks noChangeAspect="1"/>
                    </pic:cNvPicPr>
                  </pic:nvPicPr>
                  <pic:blipFill>
                    <a:blip r:embed="rId67"/>
                    <a:stretch>
                      <a:fillRect/>
                    </a:stretch>
                  </pic:blipFill>
                  <pic:spPr>
                    <a:xfrm>
                      <a:off x="0" y="0"/>
                      <a:ext cx="4639089" cy="2186977"/>
                    </a:xfrm>
                    <a:prstGeom prst="rect">
                      <a:avLst/>
                    </a:prstGeom>
                  </pic:spPr>
                </pic:pic>
              </a:graphicData>
            </a:graphic>
          </wp:inline>
        </w:drawing>
      </w:r>
    </w:p>
    <w:p w14:paraId="3AE53BB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案例：某办公装饰项目，火灾探测器的设置未根据装饰墙壁、送风口等调整探测器的布置：</w:t>
      </w:r>
    </w:p>
    <w:p w14:paraId="0731591E">
      <w:pPr>
        <w:ind w:firstLine="560" w:firstLineChars="200"/>
        <w:jc w:val="center"/>
        <w:rPr>
          <w:rFonts w:hint="eastAsia" w:ascii="宋体" w:hAnsi="宋体" w:eastAsia="宋体" w:cs="宋体"/>
          <w:color w:val="000000"/>
          <w:sz w:val="28"/>
        </w:rPr>
      </w:pPr>
      <w:r>
        <w:rPr>
          <w:rFonts w:ascii="宋体" w:hAnsi="宋体" w:eastAsia="宋体" w:cs="宋体"/>
          <w:color w:val="000000"/>
          <w:sz w:val="28"/>
        </w:rPr>
        <w:drawing>
          <wp:inline distT="0" distB="0" distL="0" distR="0">
            <wp:extent cx="4278630" cy="2044065"/>
            <wp:effectExtent l="19050" t="19050" r="26670" b="13335"/>
            <wp:docPr id="22" name="图片 28"/>
            <wp:cNvGraphicFramePr/>
            <a:graphic xmlns:a="http://schemas.openxmlformats.org/drawingml/2006/main">
              <a:graphicData uri="http://schemas.openxmlformats.org/drawingml/2006/picture">
                <pic:pic xmlns:pic="http://schemas.openxmlformats.org/drawingml/2006/picture">
                  <pic:nvPicPr>
                    <pic:cNvPr id="22" name="图片 28"/>
                    <pic:cNvPicPr/>
                  </pic:nvPicPr>
                  <pic:blipFill>
                    <a:blip r:embed="rId68">
                      <a:extLst>
                        <a:ext uri="{BEBA8EAE-BF5A-486C-A8C5-ECC9F3942E4B}">
                          <a14:imgProps xmlns:a14="http://schemas.microsoft.com/office/drawing/2010/main">
                            <a14:imgLayer r:embed="rId69">
                              <a14:imgEffect>
                                <a14:brightnessContrast bright="-31000"/>
                              </a14:imgEffect>
                            </a14:imgLayer>
                          </a14:imgProps>
                        </a:ext>
                      </a:extLst>
                    </a:blip>
                    <a:stretch>
                      <a:fillRect/>
                    </a:stretch>
                  </pic:blipFill>
                  <pic:spPr>
                    <a:xfrm>
                      <a:off x="0" y="0"/>
                      <a:ext cx="4317305" cy="2062906"/>
                    </a:xfrm>
                    <a:prstGeom prst="rect">
                      <a:avLst/>
                    </a:prstGeom>
                    <a:ln w="12700">
                      <a:solidFill>
                        <a:schemeClr val="tx1"/>
                      </a:solidFill>
                    </a:ln>
                  </pic:spPr>
                </pic:pic>
              </a:graphicData>
            </a:graphic>
          </wp:inline>
        </w:drawing>
      </w:r>
    </w:p>
    <w:p w14:paraId="7862A93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4.0.4 对于未到房间顶板的装饰隔断，设计时忽略装饰隔断对火灾自动报警探测器的影响；</w:t>
      </w:r>
    </w:p>
    <w:p w14:paraId="7C03B172">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依据：《火灾自动报警系统设计规范》GB 50116-2013第6.2.7条 房间被书架、设备或隔断等分隔，其顶部至顶棚或梁的距离小于房间净高的5%时，每个被隔开的部分应至少安装一只点型探测器。</w:t>
      </w:r>
    </w:p>
    <w:p w14:paraId="34BB616B">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59264" behindDoc="0" locked="0" layoutInCell="1" allowOverlap="1">
            <wp:simplePos x="0" y="0"/>
            <wp:positionH relativeFrom="column">
              <wp:posOffset>3333115</wp:posOffset>
            </wp:positionH>
            <wp:positionV relativeFrom="paragraph">
              <wp:posOffset>782320</wp:posOffset>
            </wp:positionV>
            <wp:extent cx="1870710" cy="2343150"/>
            <wp:effectExtent l="0" t="0" r="0" b="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884903" cy="2360927"/>
                    </a:xfrm>
                    <a:prstGeom prst="rect">
                      <a:avLst/>
                    </a:prstGeom>
                  </pic:spPr>
                </pic:pic>
              </a:graphicData>
            </a:graphic>
          </wp:anchor>
        </w:drawing>
      </w:r>
      <w:r>
        <w:rPr>
          <w:rFonts w:hint="eastAsia" w:ascii="宋体" w:hAnsi="宋体" w:eastAsia="宋体" w:cs="宋体"/>
          <w:color w:val="000000"/>
          <w:sz w:val="28"/>
        </w:rPr>
        <w:t>案例：某装饰卖场设置多个分隔，部分隔间分隔至顶棚或梁的距离小于房间净高的5%，设计考虑隔断影响设置火灾探测器：</w:t>
      </w:r>
    </w:p>
    <w:p w14:paraId="13951B38">
      <w:pPr>
        <w:ind w:firstLine="420" w:firstLineChars="200"/>
        <w:rPr>
          <w:rFonts w:hint="eastAsia" w:ascii="宋体" w:hAnsi="宋体" w:eastAsia="宋体" w:cs="宋体"/>
          <w:color w:val="000000"/>
          <w:sz w:val="28"/>
        </w:rPr>
      </w:pPr>
      <w:r>
        <w:rPr>
          <w:rFonts w:ascii="宋体" w:hAnsi="宋体" w:eastAsia="宋体"/>
        </w:rPr>
        <w:drawing>
          <wp:inline distT="0" distB="0" distL="0" distR="0">
            <wp:extent cx="2456815" cy="2209800"/>
            <wp:effectExtent l="0" t="0" r="63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71"/>
                    <a:stretch>
                      <a:fillRect/>
                    </a:stretch>
                  </pic:blipFill>
                  <pic:spPr>
                    <a:xfrm>
                      <a:off x="0" y="0"/>
                      <a:ext cx="2492084" cy="2241083"/>
                    </a:xfrm>
                    <a:prstGeom prst="rect">
                      <a:avLst/>
                    </a:prstGeom>
                  </pic:spPr>
                </pic:pic>
              </a:graphicData>
            </a:graphic>
          </wp:inline>
        </w:drawing>
      </w:r>
    </w:p>
    <w:p w14:paraId="5A41E28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正确的做法如下：办公室有隔断，其顶部至顶棚或梁的距离小于房间净高的5%时，火灾报警探测器安装方式如下：</w:t>
      </w:r>
    </w:p>
    <w:p w14:paraId="2C9CFF56">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0288" behindDoc="0" locked="0" layoutInCell="1" allowOverlap="1">
            <wp:simplePos x="0" y="0"/>
            <wp:positionH relativeFrom="column">
              <wp:posOffset>3188335</wp:posOffset>
            </wp:positionH>
            <wp:positionV relativeFrom="paragraph">
              <wp:posOffset>69850</wp:posOffset>
            </wp:positionV>
            <wp:extent cx="2346960" cy="2156460"/>
            <wp:effectExtent l="0" t="0" r="0" b="0"/>
            <wp:wrapNone/>
            <wp:docPr id="24"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5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2349525" cy="2159186"/>
                    </a:xfrm>
                    <a:prstGeom prst="rect">
                      <a:avLst/>
                    </a:prstGeom>
                    <a:noFill/>
                    <a:ln>
                      <a:noFill/>
                    </a:ln>
                  </pic:spPr>
                </pic:pic>
              </a:graphicData>
            </a:graphic>
          </wp:anchor>
        </w:drawing>
      </w:r>
      <w:r>
        <w:rPr>
          <w:rFonts w:ascii="宋体" w:hAnsi="宋体" w:eastAsia="宋体"/>
        </w:rPr>
        <w:drawing>
          <wp:inline distT="0" distB="0" distL="0" distR="0">
            <wp:extent cx="2614295" cy="2216785"/>
            <wp:effectExtent l="0" t="0" r="0" b="0"/>
            <wp:docPr id="1146288286" name="图片 11462882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88286" name="图片 1146288286" descr="IMG_2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618730" cy="2220301"/>
                    </a:xfrm>
                    <a:prstGeom prst="rect">
                      <a:avLst/>
                    </a:prstGeom>
                    <a:noFill/>
                    <a:ln>
                      <a:noFill/>
                    </a:ln>
                  </pic:spPr>
                </pic:pic>
              </a:graphicData>
            </a:graphic>
          </wp:inline>
        </w:drawing>
      </w:r>
    </w:p>
    <w:p w14:paraId="1DFC3DFE">
      <w:pPr>
        <w:ind w:firstLine="1680" w:firstLineChars="600"/>
        <w:rPr>
          <w:rFonts w:hint="eastAsia" w:ascii="宋体" w:hAnsi="宋体" w:eastAsia="宋体" w:cs="宋体"/>
          <w:color w:val="000000"/>
          <w:sz w:val="28"/>
        </w:rPr>
      </w:pPr>
      <w:r>
        <w:rPr>
          <w:rFonts w:hint="eastAsia" w:ascii="宋体" w:hAnsi="宋体" w:eastAsia="宋体" w:cs="宋体"/>
          <w:color w:val="000000"/>
          <w:sz w:val="28"/>
          <w:u w:val="single"/>
        </w:rPr>
        <w:t>平面图</w:t>
      </w:r>
      <w:r>
        <w:rPr>
          <w:rFonts w:hint="eastAsia" w:ascii="宋体" w:hAnsi="宋体" w:eastAsia="宋体" w:cs="宋体"/>
          <w:color w:val="000000"/>
          <w:sz w:val="28"/>
        </w:rPr>
        <w:t xml:space="preserve">                            </w:t>
      </w:r>
      <w:r>
        <w:rPr>
          <w:rFonts w:hint="eastAsia" w:ascii="宋体" w:hAnsi="宋体" w:eastAsia="宋体" w:cs="宋体"/>
          <w:color w:val="000000"/>
          <w:sz w:val="28"/>
          <w:u w:val="single"/>
        </w:rPr>
        <w:t>立面图</w:t>
      </w:r>
    </w:p>
    <w:p w14:paraId="70E2F22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4.0.5 采用格栅吊顶的场所，火灾自动报警探测器的设置未根据栅格的具体形式采取适当的方式设置。</w:t>
      </w:r>
    </w:p>
    <w:p w14:paraId="4D3044A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依据：《火灾自动报警系统设计规范》GB 50116-2013第6.2.18条 感烟火灾探测器在格栅吊顶场所的设置，应符合下列规定：</w:t>
      </w:r>
    </w:p>
    <w:p w14:paraId="38CD9DA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1 镂空面积与总面积的比例不大于15%时，探测器应设置在吊顶下方。</w:t>
      </w:r>
    </w:p>
    <w:p w14:paraId="14419EB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2 镂空面积与总面积的比例大于30%时，探测器应设置在吊顶上方。</w:t>
      </w:r>
    </w:p>
    <w:p w14:paraId="4ADD2E5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3 镂空面积与总面积的比例为15%～30% 时，探测器的设置部位应根据实际试验结果确定。 </w:t>
      </w:r>
    </w:p>
    <w:p w14:paraId="1C49FD3F">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4 探测器设置在吊顶上方且火警确认灯无法观察时，应在吊顶下方设置火警确认灯。 </w:t>
      </w:r>
    </w:p>
    <w:p w14:paraId="4D704A1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5 地铁站台等有活塞风影响的场所，镂空面积与总面积的比例为30%～70% 时，探测器宜同时设置在吊顶上方和下方。</w:t>
      </w:r>
    </w:p>
    <w:p w14:paraId="67D7F7E6">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4330700" cy="2589530"/>
            <wp:effectExtent l="0" t="0" r="0" b="1270"/>
            <wp:docPr id="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4335545" cy="2592478"/>
                    </a:xfrm>
                    <a:prstGeom prst="rect">
                      <a:avLst/>
                    </a:prstGeom>
                    <a:noFill/>
                    <a:ln>
                      <a:noFill/>
                    </a:ln>
                  </pic:spPr>
                </pic:pic>
              </a:graphicData>
            </a:graphic>
          </wp:inline>
        </w:drawing>
      </w:r>
    </w:p>
    <w:p w14:paraId="634E29B0">
      <w:pPr>
        <w:ind w:firstLine="420" w:firstLineChars="200"/>
        <w:rPr>
          <w:rFonts w:hint="eastAsia" w:ascii="宋体" w:hAnsi="宋体" w:eastAsia="宋体" w:cs="宋体"/>
          <w:color w:val="000000"/>
          <w:sz w:val="28"/>
        </w:rPr>
      </w:pPr>
      <w:r>
        <w:rPr>
          <w:rFonts w:hint="eastAsia" w:ascii="宋体" w:hAnsi="宋体" w:eastAsia="宋体"/>
        </w:rPr>
        <w:drawing>
          <wp:anchor distT="0" distB="0" distL="114300" distR="114300" simplePos="0" relativeHeight="251661312" behindDoc="0" locked="0" layoutInCell="1" allowOverlap="1">
            <wp:simplePos x="0" y="0"/>
            <wp:positionH relativeFrom="page">
              <wp:posOffset>1750695</wp:posOffset>
            </wp:positionH>
            <wp:positionV relativeFrom="paragraph">
              <wp:posOffset>886460</wp:posOffset>
            </wp:positionV>
            <wp:extent cx="4295775" cy="3812540"/>
            <wp:effectExtent l="0" t="0" r="9525" b="0"/>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4295775" cy="3812540"/>
                    </a:xfrm>
                    <a:prstGeom prst="rect">
                      <a:avLst/>
                    </a:prstGeom>
                    <a:noFill/>
                  </pic:spPr>
                </pic:pic>
              </a:graphicData>
            </a:graphic>
          </wp:anchor>
        </w:drawing>
      </w:r>
      <w:r>
        <w:rPr>
          <w:rFonts w:hint="eastAsia" w:ascii="宋体" w:hAnsi="宋体" w:eastAsia="宋体" w:cs="宋体"/>
          <w:color w:val="000000"/>
          <w:sz w:val="28"/>
        </w:rPr>
        <w:t>案例：某办公楼公区装饰，建筑采用格栅吊顶且格栅镂空面积与总面积的比例大于30%时，设计将火灾探测器设置在栅格下：</w:t>
      </w:r>
    </w:p>
    <w:p w14:paraId="1329946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4.0.6 厨房等有经常有水雾、蒸汽滞留的场所，采用感烟探测器。</w:t>
      </w:r>
    </w:p>
    <w:p w14:paraId="79629C0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依据：《火灾自动报警系统设计规范》GB 50116-2013第5.2.5条 符合下列条件之一的场所，宜选择点型感温火灾探测器：</w:t>
      </w:r>
    </w:p>
    <w:p w14:paraId="6181FDD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 吸烟室等在正常情况下有烟或蒸气滞留的场所。</w:t>
      </w:r>
    </w:p>
    <w:p w14:paraId="3D2FE0D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5 厨房，锅炉房、发电机房、烘干车间等不宜安装感烟火灾探测器的场所。</w:t>
      </w:r>
    </w:p>
    <w:p w14:paraId="70D2016E">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2336" behindDoc="0" locked="0" layoutInCell="1" allowOverlap="1">
            <wp:simplePos x="0" y="0"/>
            <wp:positionH relativeFrom="margin">
              <wp:align>center</wp:align>
            </wp:positionH>
            <wp:positionV relativeFrom="paragraph">
              <wp:posOffset>868680</wp:posOffset>
            </wp:positionV>
            <wp:extent cx="5274310" cy="2326640"/>
            <wp:effectExtent l="0" t="0" r="2540" b="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5274310" cy="2326640"/>
                    </a:xfrm>
                    <a:prstGeom prst="rect">
                      <a:avLst/>
                    </a:prstGeom>
                  </pic:spPr>
                </pic:pic>
              </a:graphicData>
            </a:graphic>
          </wp:anchor>
        </w:drawing>
      </w:r>
      <w:r>
        <w:rPr>
          <w:rFonts w:hint="eastAsia" w:ascii="宋体" w:hAnsi="宋体" w:eastAsia="宋体" w:cs="宋体"/>
          <w:color w:val="000000"/>
          <w:sz w:val="28"/>
        </w:rPr>
        <w:t>案例：某学校食堂装饰工程中，面食区、售餐区未根据具体设置场所选择点式感温火灾报警探测器：</w:t>
      </w:r>
    </w:p>
    <w:p w14:paraId="31AECA9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4.0.7 装饰工程消防设计中，消防应急照明灯未考虑不同设置场所的环境特点的影响。</w:t>
      </w:r>
    </w:p>
    <w:p w14:paraId="199E597F">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依据：《消防应急照明和疏散指示系统技术标准》GB 51309-2018第3.2.1条灯具的选择应符合下列规定：</w:t>
      </w:r>
    </w:p>
    <w:p w14:paraId="0C472A5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7 灯具及其连接附件的防护等级应符合下列规定：</w:t>
      </w:r>
    </w:p>
    <w:p w14:paraId="3079B8F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1）在室外或地面上设置时，防护等级不应低于IP67；</w:t>
      </w:r>
    </w:p>
    <w:p w14:paraId="7AF74C3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2）在隧道场所、潮湿场所内设置时，防护等级不应低于IP65；</w:t>
      </w:r>
    </w:p>
    <w:p w14:paraId="6ADC2CC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3）B型灯具的防护等级不应低于IP34。</w:t>
      </w:r>
    </w:p>
    <w:p w14:paraId="1BAEF81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案例1：例如游泳馆装饰项目，游泳池设置了消防应急照明灯具，但是未要求该场所灯具防护等级不低于IP65。</w:t>
      </w:r>
    </w:p>
    <w:p w14:paraId="2270082F">
      <w:pPr>
        <w:ind w:firstLine="420" w:firstLineChars="200"/>
        <w:rPr>
          <w:rFonts w:hint="eastAsia" w:ascii="宋体" w:hAnsi="宋体" w:eastAsia="宋体" w:cs="宋体"/>
          <w:color w:val="000000"/>
          <w:sz w:val="28"/>
        </w:rPr>
      </w:pPr>
      <w:r>
        <w:rPr>
          <w:rFonts w:ascii="宋体" w:hAnsi="宋体" w:eastAsia="宋体"/>
        </w:rPr>
        <w:drawing>
          <wp:inline distT="0" distB="0" distL="0" distR="0">
            <wp:extent cx="5000625" cy="1232535"/>
            <wp:effectExtent l="0" t="0" r="0" b="571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77"/>
                    <a:stretch>
                      <a:fillRect/>
                    </a:stretch>
                  </pic:blipFill>
                  <pic:spPr>
                    <a:xfrm>
                      <a:off x="0" y="0"/>
                      <a:ext cx="5020859" cy="1237988"/>
                    </a:xfrm>
                    <a:prstGeom prst="rect">
                      <a:avLst/>
                    </a:prstGeom>
                  </pic:spPr>
                </pic:pic>
              </a:graphicData>
            </a:graphic>
          </wp:inline>
        </w:drawing>
      </w:r>
    </w:p>
    <w:p w14:paraId="68DA9C2C">
      <w:pPr>
        <w:ind w:firstLine="560" w:firstLineChars="200"/>
        <w:rPr>
          <w:rFonts w:hint="eastAsia" w:ascii="宋体" w:hAnsi="宋体" w:eastAsia="宋体" w:cs="宋体"/>
          <w:color w:val="000000"/>
          <w:sz w:val="28"/>
        </w:rPr>
      </w:pPr>
    </w:p>
    <w:p w14:paraId="3EF6C2A6">
      <w:pPr>
        <w:ind w:firstLine="560" w:firstLineChars="200"/>
        <w:rPr>
          <w:rFonts w:hint="eastAsia" w:ascii="宋体" w:hAnsi="宋体" w:eastAsia="宋体" w:cs="宋体"/>
          <w:color w:val="000000"/>
          <w:sz w:val="28"/>
        </w:rPr>
      </w:pPr>
      <w:r>
        <w:rPr>
          <w:rFonts w:ascii="宋体" w:hAnsi="宋体" w:eastAsia="宋体" w:cs="宋体"/>
          <w:color w:val="000000"/>
          <w:sz w:val="28"/>
        </w:rPr>
        <w:drawing>
          <wp:inline distT="0" distB="0" distL="0" distR="0">
            <wp:extent cx="4855210" cy="2105660"/>
            <wp:effectExtent l="0" t="0" r="2540" b="8890"/>
            <wp:docPr id="14" name="图片 30" descr="D:\WeChat Files\wxid_62rr0f8hq8ek22\FileStorage\Temp\575b4247724b4627e61268bf341c19b.png"/>
            <wp:cNvGraphicFramePr/>
            <a:graphic xmlns:a="http://schemas.openxmlformats.org/drawingml/2006/main">
              <a:graphicData uri="http://schemas.openxmlformats.org/drawingml/2006/picture">
                <pic:pic xmlns:pic="http://schemas.openxmlformats.org/drawingml/2006/picture">
                  <pic:nvPicPr>
                    <pic:cNvPr id="14" name="图片 30" descr="D:\WeChat Files\wxid_62rr0f8hq8ek22\FileStorage\Temp\575b4247724b4627e61268bf341c19b.png"/>
                    <pic:cNvPicPr/>
                  </pic:nvPicPr>
                  <pic:blipFill>
                    <a:blip r:embed="rId78">
                      <a:extLst>
                        <a:ext uri="{28A0092B-C50C-407E-A947-70E740481C1C}">
                          <a14:useLocalDpi xmlns:a14="http://schemas.microsoft.com/office/drawing/2010/main" val="0"/>
                        </a:ext>
                      </a:extLst>
                    </a:blip>
                    <a:srcRect/>
                    <a:stretch>
                      <a:fillRect/>
                    </a:stretch>
                  </pic:blipFill>
                  <pic:spPr>
                    <a:xfrm>
                      <a:off x="0" y="0"/>
                      <a:ext cx="4877015" cy="2115259"/>
                    </a:xfrm>
                    <a:prstGeom prst="rect">
                      <a:avLst/>
                    </a:prstGeom>
                    <a:noFill/>
                    <a:ln>
                      <a:noFill/>
                    </a:ln>
                  </pic:spPr>
                </pic:pic>
              </a:graphicData>
            </a:graphic>
          </wp:inline>
        </w:drawing>
      </w:r>
    </w:p>
    <w:p w14:paraId="1B963066">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案例2：某公共建筑装饰项目，设计在直通室外的出口外设置了疏散照明灯具，但未要求设置在室外或地面灯具防护等级不低于IP67。</w:t>
      </w:r>
    </w:p>
    <w:p w14:paraId="6BCB8794">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3723005" cy="1600200"/>
            <wp:effectExtent l="0" t="0" r="0" b="0"/>
            <wp:docPr id="11" name="图片 4"/>
            <wp:cNvGraphicFramePr/>
            <a:graphic xmlns:a="http://schemas.openxmlformats.org/drawingml/2006/main">
              <a:graphicData uri="http://schemas.openxmlformats.org/drawingml/2006/picture">
                <pic:pic xmlns:pic="http://schemas.openxmlformats.org/drawingml/2006/picture">
                  <pic:nvPicPr>
                    <pic:cNvPr id="11" name="图片 4"/>
                    <pic:cNvPicPr/>
                  </pic:nvPicPr>
                  <pic:blipFill>
                    <a:blip r:embed="rId79"/>
                    <a:srcRect/>
                    <a:stretch>
                      <a:fillRect/>
                    </a:stretch>
                  </pic:blipFill>
                  <pic:spPr>
                    <a:xfrm>
                      <a:off x="0" y="0"/>
                      <a:ext cx="3727722" cy="1602211"/>
                    </a:xfrm>
                    <a:prstGeom prst="rect">
                      <a:avLst/>
                    </a:prstGeom>
                    <a:noFill/>
                    <a:ln w="9525">
                      <a:noFill/>
                      <a:miter lim="800000"/>
                      <a:headEnd/>
                      <a:tailEnd/>
                    </a:ln>
                  </pic:spPr>
                </pic:pic>
              </a:graphicData>
            </a:graphic>
          </wp:inline>
        </w:drawing>
      </w:r>
    </w:p>
    <w:p w14:paraId="4A707E42">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4.0.8装饰区域内疏散照明的最低水平照度值不满足现行设计阶段执行规范的要求。</w:t>
      </w:r>
    </w:p>
    <w:p w14:paraId="02DE45CF">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依据：《重庆市建筑内部装修工程施工图消防设计文件编制技术规定》： </w:t>
      </w:r>
    </w:p>
    <w:p w14:paraId="33FDD52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装修消防设计应符合现行建设工程法律法规和国家工程建设消防技术标准的要求。条件确不具备的,在建工程(指正在建设尚未竣工验收备案的工程)的装修消防设计,不应低于主体工程施工图消防设计标准的要求；既有建筑(指取得合法房屋产权证明或已竣工验收备案的建筑)的装修消防设计,不应低于主体建筑在竣工验收合格时的消防设计标准的要求。</w:t>
      </w:r>
    </w:p>
    <w:p w14:paraId="58A89366">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所选用的消防产品和具有防火性能要求的建筑材料、建筑构配件、设备及装饰装修材料，应当符合现行建设工程法律法规和国家工程建设消防技术标准。</w:t>
      </w:r>
    </w:p>
    <w:p w14:paraId="562B9FB2">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案例：某餐厅装饰项目，主体建筑2016年竣工验收合格，2024年进行局部业态装饰调整。装饰电气设计说明如下：</w:t>
      </w:r>
    </w:p>
    <w:p w14:paraId="629A623A">
      <w:pPr>
        <w:ind w:firstLine="420" w:firstLineChars="200"/>
        <w:rPr>
          <w:rFonts w:hint="eastAsia" w:ascii="宋体" w:hAnsi="宋体" w:eastAsia="宋体" w:cs="宋体"/>
          <w:color w:val="000000"/>
          <w:sz w:val="28"/>
        </w:rPr>
      </w:pPr>
      <w:r>
        <w:rPr>
          <w:rFonts w:ascii="宋体" w:hAnsi="宋体" w:eastAsia="宋体"/>
        </w:rPr>
        <w:drawing>
          <wp:inline distT="0" distB="0" distL="0" distR="0">
            <wp:extent cx="4752975" cy="974725"/>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4752975" cy="974725"/>
                    </a:xfrm>
                    <a:prstGeom prst="rect">
                      <a:avLst/>
                    </a:prstGeom>
                    <a:noFill/>
                    <a:ln>
                      <a:noFill/>
                    </a:ln>
                  </pic:spPr>
                </pic:pic>
              </a:graphicData>
            </a:graphic>
          </wp:inline>
        </w:drawing>
      </w:r>
    </w:p>
    <w:p w14:paraId="57B740D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对于该装饰场所的应急照度值要求，可通过调整末端应急灯具数量、灯具功率等来达到，不存在执行困难，因此应按现行规范的应急照明最低水平照度值要求执行：</w:t>
      </w:r>
    </w:p>
    <w:p w14:paraId="2C40001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《建筑防火通用规范》GB55037-2022第10.1.10条 建筑内疏散照明的地面最低水平照度应符合下列规定：</w:t>
      </w:r>
    </w:p>
    <w:p w14:paraId="2E4FD60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1 疏散楼梯间、疏散楼梯间的前室或合用前室、 避难走道及其前室、 避难层、避难间、消防专用通道，不应低于10.0lx;</w:t>
      </w:r>
      <w:r>
        <w:rPr>
          <w:rFonts w:ascii="宋体" w:hAnsi="宋体" w:eastAsia="宋体" w:cs="宋体"/>
          <w:color w:val="000000"/>
          <w:sz w:val="28"/>
        </w:rPr>
        <w:t xml:space="preserve">  </w:t>
      </w:r>
    </w:p>
    <w:p w14:paraId="47D2D7C8">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2 疏散走道、人员密集的场所，不应低于3.0lx; </w:t>
      </w:r>
    </w:p>
    <w:p w14:paraId="7EACFC8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3 本条上述规定场所外的其他场所，不应低于1.0lx。</w:t>
      </w:r>
    </w:p>
    <w:p w14:paraId="4D61B8D0">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4.0.9 足浴、桑拿等场所未在疏散走道和主要疏散路径的地面上增设能保持视觉连续的疏散指示标志。</w:t>
      </w:r>
    </w:p>
    <w:p w14:paraId="38FBECB0">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依据：《建筑设计防火规范》GB50016-2014（2018年版）第10.3.6条，下列建筑或场所应在疏散走道和主要疏散路径的地面上增设能保持视觉连续的灯光疏散指示标志或蓄光疏散指示标志：4 歌舞娱乐放映游艺场所。</w:t>
      </w:r>
    </w:p>
    <w:p w14:paraId="33B3EFB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《建筑设计防火规范》国家标准管理组回复（建规字【2019】1号），足疗店消防设计应按歌舞娱乐游艺放映场所处理。</w:t>
      </w:r>
    </w:p>
    <w:p w14:paraId="18FFCF7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（注：当采用蓄光疏散指示标志时，在设计说明提出设置要求，可视作满足规范）</w:t>
      </w:r>
    </w:p>
    <w:p w14:paraId="28C5EFFA">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足浴场所装饰项目，仅在通道顶棚/侧壁上设置了灯光型疏散指示标志，未在地面设置保持视觉连续的疏散标志，不符合要求。足浴，桑拿等场所内应在疏散走道和主要疏散路径的地面上增设能保持视觉连续的灯光疏散指示标志或蓄光疏散指示标志，间距不应大于3m。</w:t>
      </w:r>
    </w:p>
    <w:p w14:paraId="4C942010">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4295140" cy="20637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81">
                      <a:extLst>
                        <a:ext uri="{28A0092B-C50C-407E-A947-70E740481C1C}">
                          <a14:useLocalDpi xmlns:a14="http://schemas.microsoft.com/office/drawing/2010/main" val="0"/>
                        </a:ext>
                      </a:extLst>
                    </a:blip>
                    <a:srcRect r="782" b="18458"/>
                    <a:stretch>
                      <a:fillRect/>
                    </a:stretch>
                  </pic:blipFill>
                  <pic:spPr>
                    <a:xfrm>
                      <a:off x="0" y="0"/>
                      <a:ext cx="4311173" cy="2071778"/>
                    </a:xfrm>
                    <a:prstGeom prst="rect">
                      <a:avLst/>
                    </a:prstGeom>
                    <a:noFill/>
                    <a:ln>
                      <a:noFill/>
                    </a:ln>
                  </pic:spPr>
                </pic:pic>
              </a:graphicData>
            </a:graphic>
          </wp:inline>
        </w:drawing>
      </w:r>
    </w:p>
    <w:p w14:paraId="699EE246">
      <w:pPr>
        <w:ind w:firstLine="560" w:firstLineChars="200"/>
        <w:rPr>
          <w:rFonts w:hint="eastAsia" w:ascii="宋体" w:hAnsi="宋体" w:eastAsia="宋体" w:cs="宋体"/>
          <w:color w:val="000000"/>
          <w:sz w:val="28"/>
        </w:rPr>
      </w:pPr>
    </w:p>
    <w:p w14:paraId="0F5B76D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4.0.10总建筑面积大于5000m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的地上商店或总面积大于500m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的地下商店，疏散走道和主要疏散路径的地面上未设置保持视觉连续的疏散指示标志。</w:t>
      </w:r>
    </w:p>
    <w:p w14:paraId="42E9EC2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依据：《建筑设计防火规范》GB50016-2014（2018年版）第10.3.6条，下列建筑或场所应在疏散走道和主要疏散路径的地面上增设能保持视觉连续的灯光疏散指示标志或蓄光疏散指示标志：2 总建筑面积大于5000m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的地上商店； 3 总建筑面积大于500m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的地下或半地下商店。</w:t>
      </w:r>
    </w:p>
    <w:p w14:paraId="231608F6">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《商店建筑电气设计规范》JGJ392-2016,5.3.6条，大(中)型商店建筑、总建筑面积大于500m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的地下和半地下商店应在通往安全出口的疏散走道地面上增设能保持视觉连续的灯光或蓄光疏散指示标志。</w:t>
      </w:r>
    </w:p>
    <w:p w14:paraId="1F6288F4">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（注：当采用蓄光疏散指示标志时，在设计说明提出设置要求，可视作满足规范）</w:t>
      </w:r>
    </w:p>
    <w:p w14:paraId="222CCC56">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3360" behindDoc="0" locked="0" layoutInCell="1" allowOverlap="1">
            <wp:simplePos x="0" y="0"/>
            <wp:positionH relativeFrom="margin">
              <wp:align>center</wp:align>
            </wp:positionH>
            <wp:positionV relativeFrom="paragraph">
              <wp:posOffset>1708785</wp:posOffset>
            </wp:positionV>
            <wp:extent cx="4869815" cy="1857375"/>
            <wp:effectExtent l="0" t="0" r="6985" b="9525"/>
            <wp:wrapTopAndBottom/>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874280" cy="1859078"/>
                    </a:xfrm>
                    <a:prstGeom prst="rect">
                      <a:avLst/>
                    </a:prstGeom>
                    <a:noFill/>
                    <a:ln>
                      <a:noFill/>
                    </a:ln>
                  </pic:spPr>
                </pic:pic>
              </a:graphicData>
            </a:graphic>
          </wp:anchor>
        </w:drawing>
      </w:r>
      <w:r>
        <w:rPr>
          <w:rFonts w:hint="eastAsia" w:ascii="宋体" w:hAnsi="宋体" w:eastAsia="宋体" w:cs="宋体"/>
          <w:color w:val="000000"/>
          <w:sz w:val="28"/>
        </w:rPr>
        <w:t>案例1：某小型超市装饰项目，主体建筑20</w:t>
      </w:r>
      <w:r>
        <w:rPr>
          <w:rFonts w:ascii="宋体" w:hAnsi="宋体" w:eastAsia="宋体" w:cs="宋体"/>
          <w:color w:val="000000"/>
          <w:sz w:val="28"/>
        </w:rPr>
        <w:t>18</w:t>
      </w:r>
      <w:r>
        <w:rPr>
          <w:rFonts w:hint="eastAsia" w:ascii="宋体" w:hAnsi="宋体" w:eastAsia="宋体" w:cs="宋体"/>
          <w:color w:val="000000"/>
          <w:sz w:val="28"/>
        </w:rPr>
        <w:t>年竣工验收合格，装饰区域位于地下一层，装饰面积4800 m</w:t>
      </w:r>
      <w:r>
        <w:rPr>
          <w:rFonts w:hint="eastAsia" w:ascii="宋体" w:hAnsi="宋体" w:eastAsia="宋体" w:cs="宋体"/>
          <w:color w:val="000000"/>
          <w:sz w:val="28"/>
          <w:vertAlign w:val="superscript"/>
        </w:rPr>
        <w:t>2</w:t>
      </w:r>
      <w:r>
        <w:rPr>
          <w:rFonts w:hint="eastAsia" w:ascii="宋体" w:hAnsi="宋体" w:eastAsia="宋体" w:cs="宋体"/>
          <w:color w:val="000000"/>
          <w:sz w:val="28"/>
        </w:rPr>
        <w:t>，设计在主要疏散通道上吊装或壁装了灯光型疏散标志，但未在地面设置能保持视觉连续的疏散指示标志，不满足规范相关要求。</w:t>
      </w:r>
    </w:p>
    <w:p w14:paraId="2BA7D4F6">
      <w:pPr>
        <w:ind w:firstLine="560" w:firstLineChars="200"/>
        <w:rPr>
          <w:rFonts w:hint="eastAsia" w:ascii="宋体" w:hAnsi="宋体" w:eastAsia="宋体" w:cs="宋体"/>
          <w:color w:val="000000"/>
          <w:sz w:val="28"/>
        </w:rPr>
      </w:pPr>
    </w:p>
    <w:p w14:paraId="60A1B369">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89984" behindDoc="0" locked="0" layoutInCell="1" allowOverlap="1">
            <wp:simplePos x="0" y="0"/>
            <wp:positionH relativeFrom="margin">
              <wp:align>center</wp:align>
            </wp:positionH>
            <wp:positionV relativeFrom="paragraph">
              <wp:posOffset>1189990</wp:posOffset>
            </wp:positionV>
            <wp:extent cx="4744720" cy="2733675"/>
            <wp:effectExtent l="0" t="0" r="0" b="9525"/>
            <wp:wrapTopAndBottom/>
            <wp:docPr id="1081" name="图片 8"/>
            <wp:cNvGraphicFramePr/>
            <a:graphic xmlns:a="http://schemas.openxmlformats.org/drawingml/2006/main">
              <a:graphicData uri="http://schemas.openxmlformats.org/drawingml/2006/picture">
                <pic:pic xmlns:pic="http://schemas.openxmlformats.org/drawingml/2006/picture">
                  <pic:nvPicPr>
                    <pic:cNvPr id="1081" name="图片 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744720" cy="2733675"/>
                    </a:xfrm>
                    <a:prstGeom prst="rect">
                      <a:avLst/>
                    </a:prstGeom>
                    <a:noFill/>
                    <a:ln w="9525">
                      <a:noFill/>
                    </a:ln>
                  </pic:spPr>
                </pic:pic>
              </a:graphicData>
            </a:graphic>
          </wp:anchor>
        </w:drawing>
      </w:r>
      <w:r>
        <w:rPr>
          <w:rFonts w:hint="eastAsia" w:ascii="宋体" w:hAnsi="宋体" w:eastAsia="宋体" w:cs="宋体"/>
          <w:color w:val="000000"/>
          <w:sz w:val="28"/>
        </w:rPr>
        <w:t>案例2：总建筑面积大于5000m</w:t>
      </w:r>
      <w:r>
        <w:rPr>
          <w:rFonts w:hint="eastAsia" w:ascii="宋体" w:hAnsi="宋体" w:eastAsia="宋体" w:cs="宋体"/>
          <w:color w:val="000000"/>
          <w:sz w:val="28"/>
          <w:vertAlign w:val="superscript"/>
        </w:rPr>
        <w:t>2</w:t>
      </w:r>
      <w:r>
        <w:rPr>
          <w:rFonts w:hint="eastAsia" w:ascii="宋体" w:hAnsi="宋体" w:eastAsia="宋体" w:cs="宋体"/>
          <w:color w:val="000000"/>
          <w:sz w:val="28"/>
        </w:rPr>
        <w:t>的大型商店装饰消防设计，在主要疏散通道上吊装设置了灯光型疏散标志，但未在地面设置能保持视觉连续的疏散指示标志。</w:t>
      </w:r>
    </w:p>
    <w:p w14:paraId="04F6A5D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4.0.11地面上设置的标志灯的配电线路和通信线路，未采用耐腐蚀橡胶线缆。</w:t>
      </w:r>
    </w:p>
    <w:p w14:paraId="0545B68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依据：《消防应急照明和疏散指示系统技术标准》GB51309-2018第3.5.3条 地面上设置的标志灯的配电线路和通信线路应选择耐腐蚀橡胶线缆。</w:t>
      </w:r>
    </w:p>
    <w:p w14:paraId="5E78F997">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4384" behindDoc="0" locked="0" layoutInCell="1" allowOverlap="1">
            <wp:simplePos x="0" y="0"/>
            <wp:positionH relativeFrom="page">
              <wp:posOffset>1176020</wp:posOffset>
            </wp:positionH>
            <wp:positionV relativeFrom="paragraph">
              <wp:posOffset>835025</wp:posOffset>
            </wp:positionV>
            <wp:extent cx="5063490" cy="2122170"/>
            <wp:effectExtent l="0" t="0" r="3810" b="0"/>
            <wp:wrapTopAndBottom/>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063490" cy="2122170"/>
                    </a:xfrm>
                    <a:prstGeom prst="rect">
                      <a:avLst/>
                    </a:prstGeom>
                    <a:noFill/>
                    <a:ln>
                      <a:noFill/>
                    </a:ln>
                  </pic:spPr>
                </pic:pic>
              </a:graphicData>
            </a:graphic>
          </wp:anchor>
        </w:drawing>
      </w:r>
      <w:r>
        <w:rPr>
          <w:rFonts w:hint="eastAsia" w:ascii="宋体" w:hAnsi="宋体" w:eastAsia="宋体" w:cs="宋体"/>
          <w:color w:val="000000"/>
          <w:sz w:val="28"/>
        </w:rPr>
        <w:t>案例：某公共建筑装饰工程，从应急照明集中电源引至地面上设置的标志灯的配电线路和通信线路未采用耐腐蚀橡胶线缆。</w:t>
      </w:r>
    </w:p>
    <w:p w14:paraId="620C02CD">
      <w:pPr>
        <w:ind w:firstLine="560" w:firstLineChars="200"/>
        <w:rPr>
          <w:rFonts w:hint="eastAsia" w:ascii="宋体" w:hAnsi="宋体" w:eastAsia="宋体" w:cs="宋体"/>
          <w:color w:val="000000"/>
          <w:sz w:val="28"/>
        </w:rPr>
      </w:pPr>
    </w:p>
    <w:p w14:paraId="01D4505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4.0.12 设备材料表中的应急疏散照明灯具，设计未明确光源光通量。</w:t>
      </w:r>
    </w:p>
    <w:p w14:paraId="491BA3C0">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依据：《重庆市建筑内部装修工程施工图消防设计文件编制技术规定（2020年版）》4.10条 主要设备材料表 </w:t>
      </w:r>
    </w:p>
    <w:p w14:paraId="4465DDC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 xml:space="preserve"> 列出设备及主要材料的名称、性能参数、计数单位、数量、图例、备注使用运作说明。</w:t>
      </w:r>
    </w:p>
    <w:p w14:paraId="12FA3B1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案例：某足浴中心装修项目，设计未明确应急（疏散）照明灯具的光源光通量，缺乏疏散照明地面最低水平照度的判定依据。</w:t>
      </w:r>
    </w:p>
    <w:p w14:paraId="24BAB23C">
      <w:pPr>
        <w:ind w:firstLine="420" w:firstLineChars="200"/>
        <w:rPr>
          <w:rFonts w:hint="eastAsia" w:ascii="宋体" w:hAnsi="宋体" w:eastAsia="宋体" w:cs="宋体"/>
          <w:color w:val="000000"/>
          <w:sz w:val="28"/>
        </w:rPr>
      </w:pPr>
      <w:r>
        <w:rPr>
          <w:rFonts w:ascii="宋体" w:hAnsi="宋体" w:eastAsia="宋体"/>
        </w:rPr>
        <w:drawing>
          <wp:inline distT="0" distB="0" distL="0" distR="0">
            <wp:extent cx="4693920" cy="1844675"/>
            <wp:effectExtent l="0" t="0" r="0" b="3175"/>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图片 1065"/>
                    <pic:cNvPicPr>
                      <a:picLocks noChangeAspect="1"/>
                    </pic:cNvPicPr>
                  </pic:nvPicPr>
                  <pic:blipFill>
                    <a:blip r:embed="rId85"/>
                    <a:stretch>
                      <a:fillRect/>
                    </a:stretch>
                  </pic:blipFill>
                  <pic:spPr>
                    <a:xfrm>
                      <a:off x="0" y="0"/>
                      <a:ext cx="4723997" cy="1856543"/>
                    </a:xfrm>
                    <a:prstGeom prst="rect">
                      <a:avLst/>
                    </a:prstGeom>
                  </pic:spPr>
                </pic:pic>
              </a:graphicData>
            </a:graphic>
          </wp:inline>
        </w:drawing>
      </w:r>
    </w:p>
    <w:p w14:paraId="29547473">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（注：应急照明灯具可标注光通量参数，标志灯具可标注发光亮度参数）。</w:t>
      </w:r>
    </w:p>
    <w:p w14:paraId="280432A6">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4.0.13 已建工程的装饰设计中，消防应急照明蓄电池连续工作时间的确定未考虑原大楼的建筑定性。</w:t>
      </w:r>
    </w:p>
    <w:p w14:paraId="4417E01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依据：《重庆市建筑内部装修工程施工图消防设计文件编制技术规定（2020年版）》第2.1.3条  建筑局部装修消防设计应满足在建工程或既有建筑的整体消防设计要求。</w:t>
      </w:r>
    </w:p>
    <w:p w14:paraId="62FCF818">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案例：某局部装饰项目位于超过100米的高层建筑内，</w:t>
      </w:r>
      <w:r>
        <w:rPr>
          <w:rFonts w:ascii="宋体" w:hAnsi="宋体" w:eastAsia="宋体" w:cs="宋体"/>
          <w:color w:val="000000"/>
          <w:sz w:val="28"/>
        </w:rPr>
        <w:t xml:space="preserve"> </w:t>
      </w:r>
      <w:r>
        <w:rPr>
          <w:rFonts w:hint="eastAsia" w:ascii="宋体" w:hAnsi="宋体" w:eastAsia="宋体" w:cs="宋体"/>
          <w:color w:val="000000"/>
          <w:sz w:val="28"/>
        </w:rPr>
        <w:t>设计文件中消防应急照明设计说明如下，设计未考虑既有建筑的整体消防设计要求。</w:t>
      </w:r>
    </w:p>
    <w:p w14:paraId="1DC6A8D5">
      <w:pPr>
        <w:rPr>
          <w:rFonts w:hint="eastAsia" w:ascii="宋体" w:hAnsi="宋体" w:eastAsia="宋体" w:cs="宋体"/>
          <w:color w:val="000000"/>
          <w:sz w:val="28"/>
        </w:rPr>
      </w:pPr>
      <w:r>
        <w:rPr>
          <w:rFonts w:ascii="宋体" w:hAnsi="宋体" w:eastAsia="宋体" w:cs="宋体"/>
          <w:color w:val="000000"/>
          <w:sz w:val="28"/>
        </w:rPr>
        <w:drawing>
          <wp:inline distT="0" distB="0" distL="0" distR="0">
            <wp:extent cx="5476875" cy="1304925"/>
            <wp:effectExtent l="0" t="0" r="9525" b="9525"/>
            <wp:docPr id="4" name="图片 28"/>
            <wp:cNvGraphicFramePr/>
            <a:graphic xmlns:a="http://schemas.openxmlformats.org/drawingml/2006/main">
              <a:graphicData uri="http://schemas.openxmlformats.org/drawingml/2006/picture">
                <pic:pic xmlns:pic="http://schemas.openxmlformats.org/drawingml/2006/picture">
                  <pic:nvPicPr>
                    <pic:cNvPr id="4" name="图片 28"/>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476875" cy="1304925"/>
                    </a:xfrm>
                    <a:prstGeom prst="rect">
                      <a:avLst/>
                    </a:prstGeom>
                  </pic:spPr>
                </pic:pic>
              </a:graphicData>
            </a:graphic>
          </wp:inline>
        </w:drawing>
      </w:r>
    </w:p>
    <w:p w14:paraId="6947AD5F">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根据该建筑的性质，设计消防应急照明和灯光疏散指示标志的备用电源的连续供电时间不应低于1.5h。供电时间应按《建筑防火通用规范》GB 55037-2022第10.1.4条 建筑内消防应急照明和灯光疏散指示标志的备用电源的连续供电时间应满足人员安全疏散的要求，且不应小于表10.1.4的规定值。</w:t>
      </w:r>
    </w:p>
    <w:p w14:paraId="7DD305FA">
      <w:pPr>
        <w:ind w:firstLine="560" w:firstLineChars="200"/>
        <w:jc w:val="center"/>
        <w:rPr>
          <w:rFonts w:hint="eastAsia" w:ascii="宋体" w:hAnsi="宋体" w:eastAsia="宋体" w:cs="宋体"/>
          <w:color w:val="000000"/>
          <w:sz w:val="28"/>
        </w:rPr>
      </w:pPr>
      <w:r>
        <w:rPr>
          <w:rFonts w:ascii="宋体" w:hAnsi="宋体" w:eastAsia="宋体" w:cs="宋体"/>
          <w:color w:val="000000"/>
          <w:sz w:val="28"/>
        </w:rPr>
        <w:drawing>
          <wp:inline distT="0" distB="0" distL="0" distR="0">
            <wp:extent cx="4369435" cy="1962150"/>
            <wp:effectExtent l="0" t="0" r="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87"/>
                    <a:stretch>
                      <a:fillRect/>
                    </a:stretch>
                  </pic:blipFill>
                  <pic:spPr>
                    <a:xfrm>
                      <a:off x="0" y="0"/>
                      <a:ext cx="4369870" cy="1962345"/>
                    </a:xfrm>
                    <a:prstGeom prst="rect">
                      <a:avLst/>
                    </a:prstGeom>
                  </pic:spPr>
                </pic:pic>
              </a:graphicData>
            </a:graphic>
          </wp:inline>
        </w:drawing>
      </w:r>
    </w:p>
    <w:p w14:paraId="485ED78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4.0.14人员密集场所的疏散出口、安全出口附近，未设置多信息复合标志灯具。</w:t>
      </w:r>
    </w:p>
    <w:p w14:paraId="797ED597">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依据：《消防应急照明和疏散指示系统技术标准》GB51309-2018第3.2.11条 人员密集场所的疏散出口、安全出口附近应增设多信息复合标志灯具。</w:t>
      </w:r>
    </w:p>
    <w:p w14:paraId="11D4FE9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案例：某大型商业装修项目，多个疏散出口、安全出口附近未设置多信息复合标志灯。</w:t>
      </w:r>
    </w:p>
    <w:p w14:paraId="33389125">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5408" behindDoc="0" locked="0" layoutInCell="1" allowOverlap="1">
            <wp:simplePos x="0" y="0"/>
            <wp:positionH relativeFrom="column">
              <wp:posOffset>3409315</wp:posOffset>
            </wp:positionH>
            <wp:positionV relativeFrom="paragraph">
              <wp:posOffset>16510</wp:posOffset>
            </wp:positionV>
            <wp:extent cx="1767840" cy="2333625"/>
            <wp:effectExtent l="0" t="0" r="3810" b="9525"/>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1775381" cy="2343580"/>
                    </a:xfrm>
                    <a:prstGeom prst="rect">
                      <a:avLst/>
                    </a:prstGeom>
                  </pic:spPr>
                </pic:pic>
              </a:graphicData>
            </a:graphic>
          </wp:anchor>
        </w:drawing>
      </w:r>
      <w:r>
        <w:rPr>
          <w:rFonts w:ascii="宋体" w:hAnsi="宋体" w:eastAsia="宋体"/>
        </w:rPr>
        <w:drawing>
          <wp:inline distT="0" distB="0" distL="0" distR="0">
            <wp:extent cx="2593975" cy="22288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9"/>
                    <a:stretch>
                      <a:fillRect/>
                    </a:stretch>
                  </pic:blipFill>
                  <pic:spPr>
                    <a:xfrm>
                      <a:off x="0" y="0"/>
                      <a:ext cx="2617105" cy="2248398"/>
                    </a:xfrm>
                    <a:prstGeom prst="rect">
                      <a:avLst/>
                    </a:prstGeom>
                  </pic:spPr>
                </pic:pic>
              </a:graphicData>
            </a:graphic>
          </wp:inline>
        </w:drawing>
      </w:r>
    </w:p>
    <w:p w14:paraId="1C25168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4.0.15设置在建筑室外的火灾报警设备未明确防护等级要求。</w:t>
      </w:r>
    </w:p>
    <w:p w14:paraId="55DEFE7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依据：《消防设施通用规范》GB 55036-2022第12.0.18条 火灾自动报警系统设备的防护等级应满足在设置场所环境条件下正常工作的要求。</w:t>
      </w:r>
    </w:p>
    <w:p w14:paraId="66D4A32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“《消防设施通用规范》GB 55036-2022实施指南”（规范编写组编著）P233中明确：设置在室外或地面上，不应低于IP67；</w:t>
      </w:r>
    </w:p>
    <w:p w14:paraId="0684B29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案例：某运营中心装饰消防设计中，设置在建筑室外的火灾报警设备未明确防护等级要求：</w:t>
      </w:r>
    </w:p>
    <w:p w14:paraId="2BC32783">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5241925" cy="1966595"/>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图片 1056"/>
                    <pic:cNvPicPr>
                      <a:picLocks noChangeAspect="1"/>
                    </pic:cNvPicPr>
                  </pic:nvPicPr>
                  <pic:blipFill>
                    <a:blip r:embed="rId90"/>
                    <a:stretch>
                      <a:fillRect/>
                    </a:stretch>
                  </pic:blipFill>
                  <pic:spPr>
                    <a:xfrm>
                      <a:off x="0" y="0"/>
                      <a:ext cx="5257643" cy="1972746"/>
                    </a:xfrm>
                    <a:prstGeom prst="rect">
                      <a:avLst/>
                    </a:prstGeom>
                  </pic:spPr>
                </pic:pic>
              </a:graphicData>
            </a:graphic>
          </wp:inline>
        </w:drawing>
      </w:r>
    </w:p>
    <w:p w14:paraId="78CFA753">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4.0.16可燃气体探测器直接接入火灾报警控制器的报警总线。</w:t>
      </w:r>
    </w:p>
    <w:p w14:paraId="51531A1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依据：《消防设施通用规范》GB 55036-2022第12.0.13条 可燃气体探测报警系统应独立组成，可燃气体探测器不应直接接入火灾报警控制器的报警总线。</w:t>
      </w:r>
    </w:p>
    <w:p w14:paraId="7C1C6613">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《火灾自动报警系统设计规范》GB50116-2013第8.1.2条 可燃气体探测报警系统应独立组成，可燃气体探测器不应接入火灾报警控制器的探测器回路；当可燃气体的报警信号需接入火灾自动报警系统时，应由可燃气体报警控制器接入。</w:t>
      </w:r>
    </w:p>
    <w:p w14:paraId="6884EDEC">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案例：某食堂装饰改造工程中，使用天然气的厨房设置了可燃气体探测器，但设计将可燃气体探测器直接接入火灾报警控制器的报警总线，违反规范要求。</w:t>
      </w:r>
    </w:p>
    <w:p w14:paraId="4EA85CDC">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5123180" cy="2428875"/>
            <wp:effectExtent l="0" t="0" r="127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 name="图片 1057"/>
                    <pic:cNvPicPr>
                      <a:picLocks noChangeAspect="1"/>
                    </pic:cNvPicPr>
                  </pic:nvPicPr>
                  <pic:blipFill>
                    <a:blip r:embed="rId91"/>
                    <a:stretch>
                      <a:fillRect/>
                    </a:stretch>
                  </pic:blipFill>
                  <pic:spPr>
                    <a:xfrm>
                      <a:off x="0" y="0"/>
                      <a:ext cx="5130694" cy="2432145"/>
                    </a:xfrm>
                    <a:prstGeom prst="rect">
                      <a:avLst/>
                    </a:prstGeom>
                  </pic:spPr>
                </pic:pic>
              </a:graphicData>
            </a:graphic>
          </wp:inline>
        </w:drawing>
      </w:r>
    </w:p>
    <w:p w14:paraId="7D412D5B">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4.0.17电线电缆防火耐火性能、燃烧性能，未考虑原大楼的建筑工程定性。</w:t>
      </w:r>
    </w:p>
    <w:p w14:paraId="487607BA">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依据：《民用建筑电线电缆防火设计标准》DBJ50/T-164-2021，第5.2.</w:t>
      </w:r>
      <w:r>
        <w:rPr>
          <w:rFonts w:ascii="宋体" w:hAnsi="宋体" w:eastAsia="宋体" w:cs="宋体"/>
          <w:color w:val="000000"/>
          <w:sz w:val="28"/>
        </w:rPr>
        <w:t>1</w:t>
      </w:r>
      <w:r>
        <w:rPr>
          <w:rFonts w:hint="eastAsia" w:ascii="宋体" w:hAnsi="宋体" w:eastAsia="宋体" w:cs="宋体"/>
          <w:color w:val="000000"/>
          <w:sz w:val="28"/>
        </w:rPr>
        <w:t>条规定：电线电缆的阻燃等级不应低于表5.2.1的规定。</w:t>
      </w:r>
    </w:p>
    <w:p w14:paraId="73133439">
      <w:pPr>
        <w:jc w:val="center"/>
        <w:rPr>
          <w:rFonts w:hint="eastAsia" w:ascii="宋体" w:hAnsi="宋体" w:eastAsia="宋体"/>
          <w:sz w:val="28"/>
          <w:szCs w:val="28"/>
        </w:rPr>
      </w:pPr>
      <w:r>
        <w:rPr>
          <w:rFonts w:ascii="宋体" w:hAnsi="宋体" w:eastAsia="宋体"/>
          <w:sz w:val="28"/>
          <w:szCs w:val="28"/>
        </w:rPr>
        <w:t>表5.2.1 电线电缆的阻燃类别选择</w:t>
      </w:r>
    </w:p>
    <w:tbl>
      <w:tblPr>
        <w:tblStyle w:val="13"/>
        <w:tblW w:w="6520" w:type="dxa"/>
        <w:jc w:val="center"/>
        <w:tblBorders>
          <w:top w:val="none" w:color="auto" w:sz="0" w:space="0"/>
          <w:left w:val="none" w:color="auto" w:sz="0" w:space="0"/>
          <w:bottom w:val="single" w:color="E8EAEC" w:sz="6" w:space="0"/>
          <w:right w:val="single" w:color="E8EAEC" w:sz="6" w:space="0"/>
          <w:insideH w:val="none" w:color="auto" w:sz="0" w:space="0"/>
          <w:insideV w:val="none" w:color="auto" w:sz="0" w:space="0"/>
        </w:tblBorders>
        <w:shd w:val="clear" w:color="auto" w:fill="FFFFFF"/>
        <w:tblLayout w:type="autofit"/>
        <w:tblCellMar>
          <w:top w:w="15" w:type="dxa"/>
          <w:left w:w="15" w:type="dxa"/>
          <w:bottom w:w="15" w:type="dxa"/>
          <w:right w:w="15" w:type="dxa"/>
        </w:tblCellMar>
      </w:tblPr>
      <w:tblGrid>
        <w:gridCol w:w="1977"/>
        <w:gridCol w:w="2160"/>
        <w:gridCol w:w="2383"/>
      </w:tblGrid>
      <w:tr w14:paraId="320C83A6">
        <w:tblPrEx>
          <w:tblBorders>
            <w:top w:val="none" w:color="auto" w:sz="0" w:space="0"/>
            <w:left w:val="none" w:color="auto" w:sz="0" w:space="0"/>
            <w:bottom w:val="single" w:color="E8EAEC" w:sz="6" w:space="0"/>
            <w:right w:val="single" w:color="E8EAEC" w:sz="6"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1977"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42C75DC0">
            <w:pPr>
              <w:jc w:val="center"/>
              <w:rPr>
                <w:rFonts w:hint="eastAsia" w:ascii="宋体" w:hAnsi="宋体" w:eastAsia="宋体"/>
                <w:sz w:val="24"/>
                <w:szCs w:val="24"/>
              </w:rPr>
            </w:pPr>
            <w:r>
              <w:rPr>
                <w:rFonts w:ascii="宋体" w:hAnsi="宋体" w:eastAsia="宋体"/>
                <w:sz w:val="24"/>
                <w:szCs w:val="24"/>
              </w:rPr>
              <w:t>适用场所</w:t>
            </w:r>
          </w:p>
        </w:tc>
        <w:tc>
          <w:tcPr>
            <w:tcW w:w="216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75647014">
            <w:pPr>
              <w:jc w:val="center"/>
              <w:rPr>
                <w:rFonts w:hint="eastAsia" w:ascii="宋体" w:hAnsi="宋体" w:eastAsia="宋体"/>
                <w:sz w:val="24"/>
                <w:szCs w:val="24"/>
              </w:rPr>
            </w:pPr>
            <w:r>
              <w:rPr>
                <w:rFonts w:ascii="宋体" w:hAnsi="宋体" w:eastAsia="宋体"/>
                <w:sz w:val="24"/>
                <w:szCs w:val="24"/>
              </w:rPr>
              <w:t>电缆阻燃类别</w:t>
            </w:r>
          </w:p>
        </w:tc>
        <w:tc>
          <w:tcPr>
            <w:tcW w:w="2383"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292CAD99">
            <w:pPr>
              <w:jc w:val="center"/>
              <w:rPr>
                <w:rFonts w:hint="eastAsia" w:ascii="宋体" w:hAnsi="宋体" w:eastAsia="宋体"/>
                <w:sz w:val="24"/>
                <w:szCs w:val="24"/>
              </w:rPr>
            </w:pPr>
            <w:r>
              <w:rPr>
                <w:rFonts w:ascii="宋体" w:hAnsi="宋体" w:eastAsia="宋体"/>
                <w:sz w:val="24"/>
                <w:szCs w:val="24"/>
              </w:rPr>
              <w:t>电线阻燃类别</w:t>
            </w:r>
          </w:p>
        </w:tc>
      </w:tr>
      <w:tr w14:paraId="036BAD2E">
        <w:tblPrEx>
          <w:tblBorders>
            <w:top w:val="none" w:color="auto" w:sz="0" w:space="0"/>
            <w:left w:val="none" w:color="auto" w:sz="0" w:space="0"/>
            <w:bottom w:val="single" w:color="E8EAEC" w:sz="6" w:space="0"/>
            <w:right w:val="single" w:color="E8EAEC" w:sz="6"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1977"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25235292">
            <w:pPr>
              <w:jc w:val="center"/>
              <w:rPr>
                <w:rFonts w:hint="eastAsia" w:ascii="宋体" w:hAnsi="宋体" w:eastAsia="宋体"/>
                <w:sz w:val="24"/>
                <w:szCs w:val="24"/>
              </w:rPr>
            </w:pPr>
            <w:r>
              <w:rPr>
                <w:rFonts w:ascii="宋体" w:hAnsi="宋体" w:eastAsia="宋体"/>
                <w:sz w:val="24"/>
                <w:szCs w:val="24"/>
              </w:rPr>
              <w:t>特级</w:t>
            </w:r>
          </w:p>
        </w:tc>
        <w:tc>
          <w:tcPr>
            <w:tcW w:w="216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572367A8">
            <w:pPr>
              <w:jc w:val="center"/>
              <w:rPr>
                <w:rFonts w:hint="eastAsia" w:ascii="宋体" w:hAnsi="宋体" w:eastAsia="宋体"/>
                <w:sz w:val="24"/>
                <w:szCs w:val="24"/>
              </w:rPr>
            </w:pPr>
            <w:r>
              <w:rPr>
                <w:rFonts w:ascii="宋体" w:hAnsi="宋体" w:eastAsia="宋体"/>
                <w:sz w:val="24"/>
                <w:szCs w:val="24"/>
              </w:rPr>
              <w:t>ZA</w:t>
            </w:r>
          </w:p>
        </w:tc>
        <w:tc>
          <w:tcPr>
            <w:tcW w:w="2383" w:type="dxa"/>
            <w:vMerge w:val="restart"/>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44C6FDA">
            <w:pPr>
              <w:jc w:val="center"/>
              <w:rPr>
                <w:rFonts w:hint="eastAsia" w:ascii="宋体" w:hAnsi="宋体" w:eastAsia="宋体"/>
                <w:sz w:val="24"/>
                <w:szCs w:val="24"/>
              </w:rPr>
            </w:pPr>
            <w:r>
              <w:rPr>
                <w:rFonts w:ascii="宋体" w:hAnsi="宋体" w:eastAsia="宋体"/>
                <w:sz w:val="24"/>
                <w:szCs w:val="24"/>
              </w:rPr>
              <w:t>ZB</w:t>
            </w:r>
          </w:p>
        </w:tc>
      </w:tr>
      <w:tr w14:paraId="5D8A15FA">
        <w:tblPrEx>
          <w:tblBorders>
            <w:top w:val="none" w:color="auto" w:sz="0" w:space="0"/>
            <w:left w:val="none" w:color="auto" w:sz="0" w:space="0"/>
            <w:bottom w:val="single" w:color="E8EAEC" w:sz="6" w:space="0"/>
            <w:right w:val="single" w:color="E8EAEC" w:sz="6"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1977"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54DF6CEA">
            <w:pPr>
              <w:jc w:val="center"/>
              <w:rPr>
                <w:rFonts w:hint="eastAsia" w:ascii="宋体" w:hAnsi="宋体" w:eastAsia="宋体"/>
                <w:sz w:val="24"/>
                <w:szCs w:val="24"/>
              </w:rPr>
            </w:pPr>
            <w:r>
              <w:rPr>
                <w:rFonts w:ascii="宋体" w:hAnsi="宋体" w:eastAsia="宋体"/>
                <w:sz w:val="24"/>
                <w:szCs w:val="24"/>
              </w:rPr>
              <w:t>一级</w:t>
            </w:r>
          </w:p>
        </w:tc>
        <w:tc>
          <w:tcPr>
            <w:tcW w:w="216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1A62377C">
            <w:pPr>
              <w:jc w:val="center"/>
              <w:rPr>
                <w:rFonts w:hint="eastAsia" w:ascii="宋体" w:hAnsi="宋体" w:eastAsia="宋体"/>
                <w:sz w:val="24"/>
                <w:szCs w:val="24"/>
              </w:rPr>
            </w:pPr>
            <w:r>
              <w:rPr>
                <w:rFonts w:ascii="宋体" w:hAnsi="宋体" w:eastAsia="宋体"/>
                <w:sz w:val="24"/>
                <w:szCs w:val="24"/>
              </w:rPr>
              <w:t>ZB</w:t>
            </w:r>
          </w:p>
        </w:tc>
        <w:tc>
          <w:tcPr>
            <w:tcW w:w="238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44F747CB">
            <w:pPr>
              <w:ind w:firstLine="960"/>
              <w:jc w:val="center"/>
              <w:rPr>
                <w:rFonts w:hint="eastAsia" w:ascii="宋体" w:hAnsi="宋体" w:eastAsia="宋体"/>
                <w:sz w:val="24"/>
                <w:szCs w:val="24"/>
              </w:rPr>
            </w:pPr>
          </w:p>
        </w:tc>
      </w:tr>
      <w:tr w14:paraId="55B4C5BA">
        <w:tblPrEx>
          <w:tblBorders>
            <w:top w:val="none" w:color="auto" w:sz="0" w:space="0"/>
            <w:left w:val="none" w:color="auto" w:sz="0" w:space="0"/>
            <w:bottom w:val="single" w:color="E8EAEC" w:sz="6" w:space="0"/>
            <w:right w:val="single" w:color="E8EAEC" w:sz="6" w:space="0"/>
            <w:insideH w:val="none" w:color="auto" w:sz="0" w:space="0"/>
            <w:insideV w:val="none" w:color="auto" w:sz="0" w:space="0"/>
          </w:tblBorders>
          <w:shd w:val="clear" w:color="auto" w:fill="FFFFFF"/>
          <w:tblCellMar>
            <w:top w:w="15" w:type="dxa"/>
            <w:left w:w="15" w:type="dxa"/>
            <w:bottom w:w="15" w:type="dxa"/>
            <w:right w:w="15" w:type="dxa"/>
          </w:tblCellMar>
        </w:tblPrEx>
        <w:trPr>
          <w:jc w:val="center"/>
        </w:trPr>
        <w:tc>
          <w:tcPr>
            <w:tcW w:w="1977"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157A12DB">
            <w:pPr>
              <w:jc w:val="center"/>
              <w:rPr>
                <w:rFonts w:hint="eastAsia" w:ascii="宋体" w:hAnsi="宋体" w:eastAsia="宋体"/>
                <w:sz w:val="24"/>
                <w:szCs w:val="24"/>
              </w:rPr>
            </w:pPr>
            <w:r>
              <w:rPr>
                <w:rFonts w:ascii="宋体" w:hAnsi="宋体" w:eastAsia="宋体"/>
                <w:sz w:val="24"/>
                <w:szCs w:val="24"/>
              </w:rPr>
              <w:t>二级、三级</w:t>
            </w:r>
          </w:p>
        </w:tc>
        <w:tc>
          <w:tcPr>
            <w:tcW w:w="216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73218C7">
            <w:pPr>
              <w:jc w:val="center"/>
              <w:rPr>
                <w:rFonts w:hint="eastAsia" w:ascii="宋体" w:hAnsi="宋体" w:eastAsia="宋体"/>
                <w:sz w:val="24"/>
                <w:szCs w:val="24"/>
              </w:rPr>
            </w:pPr>
            <w:r>
              <w:rPr>
                <w:rFonts w:ascii="宋体" w:hAnsi="宋体" w:eastAsia="宋体"/>
                <w:sz w:val="24"/>
                <w:szCs w:val="24"/>
              </w:rPr>
              <w:t>ZC</w:t>
            </w:r>
          </w:p>
        </w:tc>
        <w:tc>
          <w:tcPr>
            <w:tcW w:w="2383"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27ED4D21">
            <w:pPr>
              <w:jc w:val="center"/>
              <w:rPr>
                <w:rFonts w:hint="eastAsia" w:ascii="宋体" w:hAnsi="宋体" w:eastAsia="宋体"/>
                <w:sz w:val="24"/>
                <w:szCs w:val="24"/>
              </w:rPr>
            </w:pPr>
            <w:r>
              <w:rPr>
                <w:rFonts w:ascii="宋体" w:hAnsi="宋体" w:eastAsia="宋体"/>
                <w:sz w:val="24"/>
                <w:szCs w:val="24"/>
              </w:rPr>
              <w:t>ZC</w:t>
            </w:r>
          </w:p>
        </w:tc>
      </w:tr>
    </w:tbl>
    <w:p w14:paraId="13124923">
      <w:pPr>
        <w:ind w:firstLine="560" w:firstLineChars="200"/>
        <w:jc w:val="left"/>
        <w:rPr>
          <w:rFonts w:hint="eastAsia" w:ascii="宋体" w:hAnsi="宋体" w:eastAsia="宋体" w:cs="宋体"/>
          <w:color w:val="000000"/>
          <w:sz w:val="28"/>
        </w:rPr>
      </w:pPr>
      <w:r>
        <w:rPr>
          <w:rFonts w:hint="eastAsia" w:ascii="宋体" w:hAnsi="宋体" w:eastAsia="宋体" w:cs="宋体"/>
          <w:color w:val="000000"/>
          <w:sz w:val="28"/>
        </w:rPr>
        <w:t>第5.2.4条规定：建筑物内普通设备供配电线路的燃烧性能，应根据表4.0.1规定的电线电缆使用场所分级，选择相应的燃烧性能等级，并不低于表5.2.4的规定。</w:t>
      </w:r>
    </w:p>
    <w:p w14:paraId="3F8C9204">
      <w:pPr>
        <w:jc w:val="center"/>
        <w:rPr>
          <w:rFonts w:hint="eastAsia" w:ascii="宋体" w:hAnsi="宋体" w:eastAsia="宋体"/>
          <w:sz w:val="28"/>
          <w:szCs w:val="28"/>
        </w:rPr>
      </w:pPr>
      <w:r>
        <w:rPr>
          <w:rFonts w:hint="eastAsia" w:ascii="宋体" w:hAnsi="宋体" w:eastAsia="宋体"/>
          <w:sz w:val="28"/>
          <w:szCs w:val="28"/>
        </w:rPr>
        <w:t>表5.2.4 电线电缆的燃烧性能选择</w:t>
      </w:r>
    </w:p>
    <w:tbl>
      <w:tblPr>
        <w:tblStyle w:val="13"/>
        <w:tblW w:w="82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5310"/>
        <w:gridCol w:w="1678"/>
        <w:gridCol w:w="1259"/>
      </w:tblGrid>
      <w:tr w14:paraId="77250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78" w:hRule="atLeast"/>
          <w:jc w:val="center"/>
        </w:trPr>
        <w:tc>
          <w:tcPr>
            <w:tcW w:w="5310" w:type="dxa"/>
            <w:vMerge w:val="restart"/>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ECA762D">
            <w:pPr>
              <w:spacing w:line="320" w:lineRule="exact"/>
              <w:jc w:val="center"/>
              <w:rPr>
                <w:rFonts w:hint="eastAsia" w:ascii="宋体" w:hAnsi="宋体" w:eastAsia="宋体"/>
                <w:sz w:val="24"/>
                <w:szCs w:val="24"/>
              </w:rPr>
            </w:pPr>
            <w:r>
              <w:rPr>
                <w:rFonts w:hint="eastAsia" w:ascii="宋体" w:hAnsi="宋体" w:eastAsia="宋体"/>
                <w:sz w:val="24"/>
                <w:szCs w:val="24"/>
              </w:rPr>
              <w:t>适用场所</w:t>
            </w:r>
          </w:p>
        </w:tc>
        <w:tc>
          <w:tcPr>
            <w:tcW w:w="2937" w:type="dxa"/>
            <w:gridSpan w:val="2"/>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8246435">
            <w:pPr>
              <w:spacing w:line="320" w:lineRule="exact"/>
              <w:jc w:val="center"/>
              <w:rPr>
                <w:rFonts w:hint="eastAsia" w:ascii="宋体" w:hAnsi="宋体" w:eastAsia="宋体"/>
                <w:sz w:val="24"/>
                <w:szCs w:val="24"/>
              </w:rPr>
            </w:pPr>
            <w:r>
              <w:rPr>
                <w:rFonts w:hint="eastAsia" w:ascii="宋体" w:hAnsi="宋体" w:eastAsia="宋体"/>
                <w:sz w:val="24"/>
                <w:szCs w:val="24"/>
              </w:rPr>
              <w:t>电线电缆燃烧性能</w:t>
            </w:r>
          </w:p>
        </w:tc>
      </w:tr>
      <w:tr w14:paraId="40F04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47" w:hRule="atLeast"/>
          <w:jc w:val="center"/>
        </w:trPr>
        <w:tc>
          <w:tcPr>
            <w:tcW w:w="531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618382CD">
            <w:pPr>
              <w:spacing w:line="320" w:lineRule="exact"/>
              <w:ind w:firstLine="960"/>
              <w:jc w:val="center"/>
              <w:rPr>
                <w:rFonts w:hint="eastAsia" w:ascii="宋体" w:hAnsi="宋体" w:eastAsia="宋体"/>
                <w:sz w:val="24"/>
                <w:szCs w:val="24"/>
              </w:rPr>
            </w:pPr>
          </w:p>
        </w:tc>
        <w:tc>
          <w:tcPr>
            <w:tcW w:w="1678"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D3DD9F4">
            <w:pPr>
              <w:spacing w:line="320" w:lineRule="exact"/>
              <w:jc w:val="center"/>
              <w:rPr>
                <w:rFonts w:hint="eastAsia" w:ascii="宋体" w:hAnsi="宋体" w:eastAsia="宋体"/>
                <w:sz w:val="24"/>
                <w:szCs w:val="24"/>
              </w:rPr>
            </w:pPr>
            <w:r>
              <w:rPr>
                <w:rFonts w:hint="eastAsia" w:ascii="宋体" w:hAnsi="宋体" w:eastAsia="宋体"/>
                <w:sz w:val="24"/>
                <w:szCs w:val="24"/>
              </w:rPr>
              <w:t>燃烧性能等级</w:t>
            </w:r>
          </w:p>
        </w:tc>
        <w:tc>
          <w:tcPr>
            <w:tcW w:w="1258"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18DF1333">
            <w:pPr>
              <w:spacing w:line="320" w:lineRule="exact"/>
              <w:jc w:val="center"/>
              <w:rPr>
                <w:rFonts w:hint="eastAsia" w:ascii="宋体" w:hAnsi="宋体" w:eastAsia="宋体"/>
                <w:sz w:val="24"/>
                <w:szCs w:val="24"/>
              </w:rPr>
            </w:pPr>
            <w:r>
              <w:rPr>
                <w:rFonts w:hint="eastAsia" w:ascii="宋体" w:hAnsi="宋体" w:eastAsia="宋体"/>
                <w:sz w:val="24"/>
                <w:szCs w:val="24"/>
              </w:rPr>
              <w:t>附加信息</w:t>
            </w:r>
          </w:p>
        </w:tc>
      </w:tr>
      <w:tr w14:paraId="132D9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31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5E31BE11">
            <w:pPr>
              <w:spacing w:line="320" w:lineRule="exact"/>
              <w:rPr>
                <w:rFonts w:hint="eastAsia" w:ascii="宋体" w:hAnsi="宋体" w:eastAsia="宋体"/>
                <w:sz w:val="24"/>
                <w:szCs w:val="24"/>
              </w:rPr>
            </w:pPr>
            <w:r>
              <w:rPr>
                <w:rFonts w:hint="eastAsia" w:ascii="宋体" w:hAnsi="宋体" w:eastAsia="宋体"/>
                <w:sz w:val="24"/>
                <w:szCs w:val="24"/>
              </w:rPr>
              <w:t>特级场所中的公共建筑； 避难层(间)</w:t>
            </w:r>
          </w:p>
        </w:tc>
        <w:tc>
          <w:tcPr>
            <w:tcW w:w="1678" w:type="dxa"/>
            <w:vMerge w:val="restart"/>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3555692B">
            <w:pPr>
              <w:spacing w:line="320" w:lineRule="exact"/>
              <w:jc w:val="center"/>
              <w:rPr>
                <w:rFonts w:hint="eastAsia" w:ascii="宋体" w:hAnsi="宋体" w:eastAsia="宋体"/>
                <w:sz w:val="24"/>
                <w:szCs w:val="24"/>
              </w:rPr>
            </w:pPr>
            <w:r>
              <w:rPr>
                <w:rFonts w:hint="eastAsia" w:ascii="宋体" w:hAnsi="宋体" w:eastAsia="宋体"/>
                <w:sz w:val="24"/>
                <w:szCs w:val="24"/>
              </w:rPr>
              <w:t>B1</w:t>
            </w:r>
          </w:p>
        </w:tc>
        <w:tc>
          <w:tcPr>
            <w:tcW w:w="1258" w:type="dxa"/>
            <w:vMerge w:val="restart"/>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28B06C0B">
            <w:pPr>
              <w:spacing w:line="320" w:lineRule="exact"/>
              <w:jc w:val="center"/>
              <w:rPr>
                <w:rFonts w:hint="eastAsia" w:ascii="宋体" w:hAnsi="宋体" w:eastAsia="宋体"/>
                <w:sz w:val="24"/>
                <w:szCs w:val="24"/>
              </w:rPr>
            </w:pPr>
            <w:r>
              <w:rPr>
                <w:rFonts w:hint="eastAsia" w:ascii="宋体" w:hAnsi="宋体" w:eastAsia="宋体"/>
                <w:sz w:val="24"/>
                <w:szCs w:val="24"/>
              </w:rPr>
              <w:t>t0、d</w:t>
            </w:r>
            <w:r>
              <w:rPr>
                <w:rFonts w:ascii="宋体" w:hAnsi="宋体" w:eastAsia="宋体"/>
                <w:sz w:val="24"/>
                <w:szCs w:val="24"/>
              </w:rPr>
              <w:t>0</w:t>
            </w:r>
          </w:p>
        </w:tc>
      </w:tr>
      <w:tr w14:paraId="51ED4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531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57338FF9">
            <w:pPr>
              <w:spacing w:line="320" w:lineRule="exact"/>
              <w:rPr>
                <w:rFonts w:hint="eastAsia" w:ascii="宋体" w:hAnsi="宋体" w:eastAsia="宋体"/>
                <w:sz w:val="24"/>
                <w:szCs w:val="24"/>
              </w:rPr>
            </w:pPr>
            <w:r>
              <w:rPr>
                <w:rFonts w:hint="eastAsia" w:ascii="宋体" w:hAnsi="宋体" w:eastAsia="宋体"/>
                <w:sz w:val="24"/>
                <w:szCs w:val="24"/>
              </w:rPr>
              <w:t>学校、幼儿园、医院、老年人照料设施; 一级、二级场所中的地下或半地下公共建筑</w:t>
            </w:r>
          </w:p>
        </w:tc>
        <w:tc>
          <w:tcPr>
            <w:tcW w:w="167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02721F0">
            <w:pPr>
              <w:spacing w:line="320" w:lineRule="exact"/>
              <w:ind w:firstLine="960"/>
              <w:jc w:val="center"/>
              <w:rPr>
                <w:rFonts w:hint="eastAsia" w:ascii="宋体" w:hAnsi="宋体" w:eastAsia="宋体"/>
                <w:sz w:val="24"/>
                <w:szCs w:val="24"/>
              </w:rPr>
            </w:pPr>
          </w:p>
        </w:tc>
        <w:tc>
          <w:tcPr>
            <w:tcW w:w="125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84DF644">
            <w:pPr>
              <w:spacing w:line="320" w:lineRule="exact"/>
              <w:ind w:firstLine="960"/>
              <w:jc w:val="center"/>
              <w:rPr>
                <w:rFonts w:hint="eastAsia" w:ascii="宋体" w:hAnsi="宋体" w:eastAsia="宋体"/>
                <w:sz w:val="24"/>
                <w:szCs w:val="24"/>
              </w:rPr>
            </w:pPr>
          </w:p>
        </w:tc>
      </w:tr>
      <w:tr w14:paraId="7EF52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38" w:hRule="atLeast"/>
          <w:jc w:val="center"/>
        </w:trPr>
        <w:tc>
          <w:tcPr>
            <w:tcW w:w="531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17F39AA9">
            <w:pPr>
              <w:spacing w:line="320" w:lineRule="exact"/>
              <w:rPr>
                <w:rFonts w:hint="eastAsia" w:ascii="宋体" w:hAnsi="宋体" w:eastAsia="宋体"/>
                <w:sz w:val="24"/>
                <w:szCs w:val="24"/>
              </w:rPr>
            </w:pPr>
            <w:r>
              <w:rPr>
                <w:rFonts w:hint="eastAsia" w:ascii="宋体" w:hAnsi="宋体" w:eastAsia="宋体"/>
                <w:sz w:val="24"/>
                <w:szCs w:val="24"/>
              </w:rPr>
              <w:t>一级场所中的金融建筑,市级电力调度、 广播电视、电信建筑,其他人员密集场所</w:t>
            </w:r>
          </w:p>
        </w:tc>
        <w:tc>
          <w:tcPr>
            <w:tcW w:w="167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7780F69F">
            <w:pPr>
              <w:spacing w:line="320" w:lineRule="exact"/>
              <w:ind w:firstLine="960"/>
              <w:jc w:val="center"/>
              <w:rPr>
                <w:rFonts w:hint="eastAsia" w:ascii="宋体" w:hAnsi="宋体" w:eastAsia="宋体"/>
                <w:sz w:val="24"/>
                <w:szCs w:val="24"/>
              </w:rPr>
            </w:pPr>
          </w:p>
        </w:tc>
        <w:tc>
          <w:tcPr>
            <w:tcW w:w="1258"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29821891">
            <w:pPr>
              <w:spacing w:line="320" w:lineRule="exact"/>
              <w:jc w:val="center"/>
              <w:rPr>
                <w:rFonts w:hint="eastAsia" w:ascii="宋体" w:hAnsi="宋体" w:eastAsia="宋体"/>
                <w:sz w:val="24"/>
                <w:szCs w:val="24"/>
              </w:rPr>
            </w:pPr>
            <w:r>
              <w:rPr>
                <w:rFonts w:hint="eastAsia" w:ascii="宋体" w:hAnsi="宋体" w:eastAsia="宋体"/>
                <w:sz w:val="24"/>
                <w:szCs w:val="24"/>
              </w:rPr>
              <w:t>t1、d1</w:t>
            </w:r>
          </w:p>
        </w:tc>
      </w:tr>
      <w:tr w14:paraId="1199D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10" w:hRule="atLeast"/>
          <w:jc w:val="center"/>
        </w:trPr>
        <w:tc>
          <w:tcPr>
            <w:tcW w:w="531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1EFBE9E0">
            <w:pPr>
              <w:spacing w:line="320" w:lineRule="exact"/>
              <w:rPr>
                <w:rFonts w:hint="eastAsia" w:ascii="宋体" w:hAnsi="宋体" w:eastAsia="宋体"/>
                <w:sz w:val="24"/>
                <w:szCs w:val="24"/>
              </w:rPr>
            </w:pPr>
            <w:r>
              <w:rPr>
                <w:rFonts w:hint="eastAsia" w:ascii="宋体" w:hAnsi="宋体" w:eastAsia="宋体"/>
                <w:sz w:val="24"/>
                <w:szCs w:val="24"/>
              </w:rPr>
              <w:t>其他一级、二级场所中的公共建筑</w:t>
            </w:r>
          </w:p>
        </w:tc>
        <w:tc>
          <w:tcPr>
            <w:tcW w:w="1678" w:type="dxa"/>
            <w:vMerge w:val="restart"/>
            <w:tcBorders>
              <w:top w:val="single" w:color="auto" w:sz="4" w:space="0"/>
              <w:left w:val="single" w:color="auto" w:sz="4" w:space="0"/>
              <w:bottom w:val="single" w:color="auto" w:sz="4" w:space="0"/>
              <w:right w:val="single" w:color="auto" w:sz="4" w:space="0"/>
            </w:tcBorders>
            <w:shd w:val="clear" w:color="auto" w:fill="FFFFFF"/>
            <w:tcMar>
              <w:top w:w="15" w:type="dxa"/>
              <w:left w:w="15" w:type="dxa"/>
              <w:bottom w:w="15" w:type="dxa"/>
              <w:right w:w="15" w:type="dxa"/>
            </w:tcMar>
            <w:vAlign w:val="center"/>
          </w:tcPr>
          <w:p w14:paraId="4147F8D6">
            <w:pPr>
              <w:spacing w:line="320" w:lineRule="exact"/>
              <w:jc w:val="center"/>
              <w:rPr>
                <w:rFonts w:hint="eastAsia" w:ascii="宋体" w:hAnsi="宋体" w:eastAsia="宋体"/>
                <w:sz w:val="24"/>
                <w:szCs w:val="24"/>
              </w:rPr>
            </w:pPr>
            <w:r>
              <w:rPr>
                <w:rFonts w:hint="eastAsia" w:ascii="宋体" w:hAnsi="宋体" w:eastAsia="宋体"/>
                <w:sz w:val="24"/>
                <w:szCs w:val="24"/>
              </w:rPr>
              <w:t>B2</w:t>
            </w:r>
          </w:p>
        </w:tc>
        <w:tc>
          <w:tcPr>
            <w:tcW w:w="1258"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01220802">
            <w:pPr>
              <w:spacing w:line="320" w:lineRule="exact"/>
              <w:jc w:val="center"/>
              <w:rPr>
                <w:rFonts w:hint="eastAsia" w:ascii="宋体" w:hAnsi="宋体" w:eastAsia="宋体"/>
                <w:sz w:val="24"/>
                <w:szCs w:val="24"/>
              </w:rPr>
            </w:pPr>
            <w:r>
              <w:rPr>
                <w:rFonts w:hint="eastAsia" w:ascii="宋体" w:hAnsi="宋体" w:eastAsia="宋体"/>
                <w:sz w:val="24"/>
                <w:szCs w:val="24"/>
              </w:rPr>
              <w:t>t2、d2</w:t>
            </w:r>
          </w:p>
        </w:tc>
      </w:tr>
      <w:tr w14:paraId="778C0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5310"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5593C569">
            <w:pPr>
              <w:spacing w:line="320" w:lineRule="exact"/>
              <w:rPr>
                <w:rFonts w:hint="eastAsia" w:ascii="宋体" w:hAnsi="宋体" w:eastAsia="宋体"/>
                <w:sz w:val="24"/>
                <w:szCs w:val="24"/>
              </w:rPr>
            </w:pPr>
            <w:r>
              <w:rPr>
                <w:rFonts w:hint="eastAsia" w:ascii="宋体" w:hAnsi="宋体" w:eastAsia="宋体"/>
                <w:sz w:val="24"/>
                <w:szCs w:val="24"/>
              </w:rPr>
              <w:t>室内交流充电桩</w:t>
            </w:r>
          </w:p>
        </w:tc>
        <w:tc>
          <w:tcPr>
            <w:tcW w:w="167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14:paraId="21093CFA">
            <w:pPr>
              <w:spacing w:line="320" w:lineRule="exact"/>
              <w:ind w:firstLine="960"/>
              <w:jc w:val="center"/>
              <w:rPr>
                <w:rFonts w:hint="eastAsia" w:ascii="宋体" w:hAnsi="宋体" w:eastAsia="宋体"/>
                <w:sz w:val="24"/>
                <w:szCs w:val="24"/>
              </w:rPr>
            </w:pPr>
          </w:p>
        </w:tc>
        <w:tc>
          <w:tcPr>
            <w:tcW w:w="1258" w:type="dxa"/>
            <w:tcBorders>
              <w:top w:val="single" w:color="auto" w:sz="4" w:space="0"/>
              <w:left w:val="single" w:color="auto" w:sz="4" w:space="0"/>
              <w:bottom w:val="single" w:color="auto" w:sz="4" w:space="0"/>
              <w:right w:val="single" w:color="auto" w:sz="4" w:space="0"/>
            </w:tcBorders>
            <w:shd w:val="clear" w:color="auto" w:fill="FFFFFF"/>
            <w:tcMar>
              <w:top w:w="60" w:type="dxa"/>
              <w:left w:w="60" w:type="dxa"/>
              <w:bottom w:w="60" w:type="dxa"/>
              <w:right w:w="60" w:type="dxa"/>
            </w:tcMar>
            <w:vAlign w:val="center"/>
          </w:tcPr>
          <w:p w14:paraId="7A750D4C">
            <w:pPr>
              <w:spacing w:line="320" w:lineRule="exact"/>
              <w:jc w:val="center"/>
              <w:rPr>
                <w:rFonts w:hint="eastAsia" w:ascii="宋体" w:hAnsi="宋体" w:eastAsia="宋体"/>
                <w:sz w:val="24"/>
                <w:szCs w:val="24"/>
              </w:rPr>
            </w:pPr>
            <w:r>
              <w:rPr>
                <w:rFonts w:hint="eastAsia" w:ascii="宋体" w:hAnsi="宋体" w:eastAsia="宋体"/>
                <w:sz w:val="24"/>
                <w:szCs w:val="24"/>
              </w:rPr>
              <w:t>t1、d1</w:t>
            </w:r>
          </w:p>
        </w:tc>
      </w:tr>
    </w:tbl>
    <w:p w14:paraId="52A5070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案例：某学校装修工程中，配电线路燃烧性能选用不低于B2级、产烟毒性t2、燃烧滴落物/微粒等级d2的电线电缆，不满足原建筑定性要求的燃烧性能B1级、产烟性能t0、燃烧滴落物/微粒等级d0的要求。</w:t>
      </w:r>
    </w:p>
    <w:p w14:paraId="200C7948">
      <w:pPr>
        <w:jc w:val="center"/>
        <w:rPr>
          <w:rFonts w:hint="eastAsia" w:ascii="宋体" w:hAnsi="宋体" w:eastAsia="宋体" w:cs="宋体"/>
          <w:color w:val="000000"/>
          <w:sz w:val="28"/>
        </w:rPr>
      </w:pPr>
      <w:r>
        <w:rPr>
          <w:rFonts w:ascii="宋体" w:hAnsi="宋体" w:eastAsia="宋体"/>
        </w:rPr>
        <w:drawing>
          <wp:inline distT="0" distB="0" distL="0" distR="0">
            <wp:extent cx="5655945" cy="1381760"/>
            <wp:effectExtent l="0" t="0" r="1905" b="889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图片 1060"/>
                    <pic:cNvPicPr>
                      <a:picLocks noChangeAspect="1"/>
                    </pic:cNvPicPr>
                  </pic:nvPicPr>
                  <pic:blipFill>
                    <a:blip r:embed="rId92"/>
                    <a:stretch>
                      <a:fillRect/>
                    </a:stretch>
                  </pic:blipFill>
                  <pic:spPr>
                    <a:xfrm>
                      <a:off x="0" y="0"/>
                      <a:ext cx="5695329" cy="1391240"/>
                    </a:xfrm>
                    <a:prstGeom prst="rect">
                      <a:avLst/>
                    </a:prstGeom>
                  </pic:spPr>
                </pic:pic>
              </a:graphicData>
            </a:graphic>
          </wp:inline>
        </w:drawing>
      </w:r>
    </w:p>
    <w:p w14:paraId="199586CA">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4.0.18装饰设计中新增的火警点位接入建筑物原有探测器线路，导致原总线隔离器所带的火灾报警设备数量超过32点。</w:t>
      </w:r>
    </w:p>
    <w:p w14:paraId="1860BFBD">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依据：GB 55036-2022第12.0.4条火灾自动报警系统总线上应设置总线短路隔离器，每只总线短路隔离器保护的火灾探测器、手动火灾报警按钮和模块等设备的总数不应大于32点。总线在穿越防火分区处应设置总线短路隔离器。</w:t>
      </w:r>
    </w:p>
    <w:p w14:paraId="52A86CA8">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办公楼装修工程，更改了房间分隔，增加火灾探测器、手动火灾报警按钮和模块等消防设备的情况下，未新增总线隔离器，酒精接入原建筑火灾自动报警系统线路，使原总线短路隔离器保护的消防设备的总数超过32点。</w:t>
      </w:r>
    </w:p>
    <w:p w14:paraId="225D4F4F">
      <w:pPr>
        <w:jc w:val="center"/>
        <w:rPr>
          <w:rFonts w:hint="eastAsia" w:ascii="宋体" w:hAnsi="宋体" w:eastAsia="宋体" w:cs="宋体"/>
          <w:color w:val="000000"/>
          <w:sz w:val="28"/>
        </w:rPr>
      </w:pPr>
      <w:r>
        <w:rPr>
          <w:rFonts w:ascii="宋体" w:hAnsi="宋体" w:eastAsia="宋体"/>
        </w:rPr>
        <w:drawing>
          <wp:inline distT="0" distB="0" distL="0" distR="0">
            <wp:extent cx="5069840" cy="2247900"/>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图片 1061"/>
                    <pic:cNvPicPr>
                      <a:picLocks noChangeAspect="1"/>
                    </pic:cNvPicPr>
                  </pic:nvPicPr>
                  <pic:blipFill>
                    <a:blip r:embed="rId93"/>
                    <a:stretch>
                      <a:fillRect/>
                    </a:stretch>
                  </pic:blipFill>
                  <pic:spPr>
                    <a:xfrm>
                      <a:off x="0" y="0"/>
                      <a:ext cx="5097353" cy="2259894"/>
                    </a:xfrm>
                    <a:prstGeom prst="rect">
                      <a:avLst/>
                    </a:prstGeom>
                  </pic:spPr>
                </pic:pic>
              </a:graphicData>
            </a:graphic>
          </wp:inline>
        </w:drawing>
      </w:r>
    </w:p>
    <w:p w14:paraId="70B86136">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4.0.19吊顶内明敷的塑料管未明确烧燃性能。</w:t>
      </w:r>
    </w:p>
    <w:p w14:paraId="6C765AD0">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依据：《建筑电气与智能化通用规范》GB55024-2022第6.2.6条：明敷的导管、电缆桥架，应选择燃烧性能不低于B1级的难燃材料制品或不燃材料制品。</w:t>
      </w:r>
    </w:p>
    <w:p w14:paraId="1386C3B1">
      <w:pPr>
        <w:ind w:firstLine="560" w:firstLineChars="200"/>
        <w:rPr>
          <w:rFonts w:hint="eastAsia" w:ascii="宋体" w:hAnsi="宋体" w:eastAsia="宋体" w:cs="宋体"/>
          <w:color w:val="000000"/>
          <w:sz w:val="28"/>
        </w:rPr>
      </w:pPr>
      <w:r>
        <w:rPr>
          <w:rFonts w:ascii="宋体" w:hAnsi="宋体" w:eastAsia="宋体" w:cs="宋体"/>
          <w:color w:val="000000"/>
          <w:sz w:val="28"/>
        </w:rPr>
        <w:drawing>
          <wp:anchor distT="0" distB="0" distL="114300" distR="114300" simplePos="0" relativeHeight="251666432" behindDoc="0" locked="0" layoutInCell="1" allowOverlap="1">
            <wp:simplePos x="0" y="0"/>
            <wp:positionH relativeFrom="margin">
              <wp:align>right</wp:align>
            </wp:positionH>
            <wp:positionV relativeFrom="paragraph">
              <wp:posOffset>973455</wp:posOffset>
            </wp:positionV>
            <wp:extent cx="5382260" cy="678815"/>
            <wp:effectExtent l="0" t="0" r="8890" b="6985"/>
            <wp:wrapTopAndBottom/>
            <wp:docPr id="1950447875" name="图片 1950447875"/>
            <wp:cNvGraphicFramePr/>
            <a:graphic xmlns:a="http://schemas.openxmlformats.org/drawingml/2006/main">
              <a:graphicData uri="http://schemas.openxmlformats.org/drawingml/2006/picture">
                <pic:pic xmlns:pic="http://schemas.openxmlformats.org/drawingml/2006/picture">
                  <pic:nvPicPr>
                    <pic:cNvPr id="1950447875" name="图片 1950447875"/>
                    <pic:cNvPicPr/>
                  </pic:nvPicPr>
                  <pic:blipFill>
                    <a:blip r:embed="rId94">
                      <a:extLst>
                        <a:ext uri="{28A0092B-C50C-407E-A947-70E740481C1C}">
                          <a14:useLocalDpi xmlns:a14="http://schemas.microsoft.com/office/drawing/2010/main" val="0"/>
                        </a:ext>
                      </a:extLst>
                    </a:blip>
                    <a:stretch>
                      <a:fillRect/>
                    </a:stretch>
                  </pic:blipFill>
                  <pic:spPr>
                    <a:xfrm>
                      <a:off x="0" y="0"/>
                      <a:ext cx="5382260" cy="678815"/>
                    </a:xfrm>
                    <a:prstGeom prst="rect">
                      <a:avLst/>
                    </a:prstGeom>
                  </pic:spPr>
                </pic:pic>
              </a:graphicData>
            </a:graphic>
          </wp:anchor>
        </w:drawing>
      </w:r>
      <w:r>
        <w:rPr>
          <w:rFonts w:hint="eastAsia" w:ascii="宋体" w:hAnsi="宋体" w:eastAsia="宋体" w:cs="宋体"/>
          <w:color w:val="000000"/>
          <w:sz w:val="28"/>
        </w:rPr>
        <w:t>案例：某装修工程设计，设计说明中未对设计采用的塑料管进行任何要求，系统图中仅有电缆穿管说明但未对塑料管明确燃烧性能。</w:t>
      </w:r>
    </w:p>
    <w:p w14:paraId="2D5141C2">
      <w:pPr>
        <w:ind w:firstLine="560" w:firstLineChars="200"/>
        <w:rPr>
          <w:rFonts w:hint="eastAsia" w:ascii="宋体" w:hAnsi="宋体" w:eastAsia="宋体" w:cs="宋体"/>
          <w:color w:val="000000"/>
          <w:sz w:val="28"/>
        </w:rPr>
      </w:pPr>
    </w:p>
    <w:p w14:paraId="340E26F5">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4.0.20 手动火灾报警按钮的设置不满足规范要求。</w:t>
      </w:r>
    </w:p>
    <w:p w14:paraId="1DF94DB0">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依据：《火灾自动报警系统设计规范》GB50116-2013第6.3.1条 每个防火分区应至少设置一只手动火灾报警按钮。从一个防火分区内的任何位置到最邻近的手动火灾报警按钮的步行距离不应大于30m；</w:t>
      </w:r>
    </w:p>
    <w:p w14:paraId="002613C3">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《消防设施通用规范》GB 55036-2022第12.0.7条 手动报警按钮的设置应满足人员快速报警的要求，每个防火分区或楼层应至少设置1个手动火灾报警按钮。</w:t>
      </w:r>
    </w:p>
    <w:p w14:paraId="4FD0C38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案例：某商业装修工程，设置的手动火灾报警按钮，不满足从一个防火分区内的任何位置到最邻近的手动火灾报警按钮的步行距离不应大于30m的要求。</w:t>
      </w:r>
    </w:p>
    <w:p w14:paraId="16E91764">
      <w:pPr>
        <w:ind w:firstLine="420" w:firstLineChars="200"/>
        <w:jc w:val="center"/>
        <w:rPr>
          <w:rFonts w:hint="eastAsia" w:ascii="宋体" w:hAnsi="宋体" w:eastAsia="宋体" w:cs="宋体"/>
          <w:color w:val="000000"/>
          <w:sz w:val="28"/>
        </w:rPr>
      </w:pPr>
      <w:r>
        <w:rPr>
          <w:rFonts w:ascii="宋体" w:hAnsi="宋体" w:eastAsia="宋体"/>
        </w:rPr>
        <w:drawing>
          <wp:inline distT="0" distB="0" distL="0" distR="0">
            <wp:extent cx="4272915" cy="3213735"/>
            <wp:effectExtent l="0" t="0" r="0" b="5715"/>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图片 1064"/>
                    <pic:cNvPicPr>
                      <a:picLocks noChangeAspect="1"/>
                    </pic:cNvPicPr>
                  </pic:nvPicPr>
                  <pic:blipFill>
                    <a:blip r:embed="rId95"/>
                    <a:stretch>
                      <a:fillRect/>
                    </a:stretch>
                  </pic:blipFill>
                  <pic:spPr>
                    <a:xfrm>
                      <a:off x="0" y="0"/>
                      <a:ext cx="4293966" cy="3229989"/>
                    </a:xfrm>
                    <a:prstGeom prst="rect">
                      <a:avLst/>
                    </a:prstGeom>
                  </pic:spPr>
                </pic:pic>
              </a:graphicData>
            </a:graphic>
          </wp:inline>
        </w:drawing>
      </w:r>
    </w:p>
    <w:p w14:paraId="07330BEE">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4.0.21设计说明中声、光警报装置的声压级要求,未按《消防设施通用规范》GB 55036-2022的12.0.5第1条要求修改。</w:t>
      </w:r>
    </w:p>
    <w:p w14:paraId="4C5D709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依据：《消防设施通用规范》GB 55036-2022第12.0.5条火灾自动报警系统应设置火灾声、光警报器。火灾声、光警报器应符合下列规定：1 火灾声、光警报器的设置应满足人员及时接受火警信号的要求，每个报警区域内的火灾警报器的声压级应高于背景噪声15dB，且不应低于60dB；</w:t>
      </w:r>
    </w:p>
    <w:p w14:paraId="37B452FA">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7456" behindDoc="0" locked="0" layoutInCell="1" allowOverlap="1">
            <wp:simplePos x="0" y="0"/>
            <wp:positionH relativeFrom="margin">
              <wp:align>right</wp:align>
            </wp:positionH>
            <wp:positionV relativeFrom="paragraph">
              <wp:posOffset>1308100</wp:posOffset>
            </wp:positionV>
            <wp:extent cx="5553075" cy="1586865"/>
            <wp:effectExtent l="0" t="0" r="9525" b="0"/>
            <wp:wrapTopAndBottom/>
            <wp:docPr id="1399655453" name="图片 139965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55453" name="图片 1399655453"/>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5553075" cy="1586865"/>
                    </a:xfrm>
                    <a:prstGeom prst="rect">
                      <a:avLst/>
                    </a:prstGeom>
                  </pic:spPr>
                </pic:pic>
              </a:graphicData>
            </a:graphic>
          </wp:anchor>
        </w:drawing>
      </w:r>
      <w:r>
        <w:rPr>
          <w:rFonts w:hint="eastAsia" w:ascii="宋体" w:hAnsi="宋体" w:eastAsia="宋体" w:cs="宋体"/>
          <w:color w:val="000000"/>
          <w:sz w:val="28"/>
        </w:rPr>
        <w:t>案例：某装饰工程电气消防设计说明中的声、光警报装置的声压级仍按《火灾报警设计规范》GB 50116-2013 要求，未按GB 55036-2022要求进行修改：</w:t>
      </w:r>
    </w:p>
    <w:p w14:paraId="5DBBDE8C">
      <w:pPr>
        <w:ind w:firstLine="560" w:firstLineChars="200"/>
        <w:rPr>
          <w:rFonts w:hint="eastAsia" w:ascii="宋体" w:hAnsi="宋体" w:eastAsia="宋体" w:cs="宋体"/>
          <w:color w:val="000000"/>
          <w:sz w:val="28"/>
        </w:rPr>
      </w:pPr>
    </w:p>
    <w:p w14:paraId="7E85A169">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4.0.22装饰工程设计中，老年人照料设施、医院等项目的避难间，未设置消防专线电话和应急广播和灯光指示标识。</w:t>
      </w:r>
    </w:p>
    <w:p w14:paraId="678E294F">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依据：《建筑防火通用规范》GB55037-2022第7.1.16条， 7 避难间内应设置消防软管卷盘、 灭火器、 消防专线电话和应急广播； 8 在避难间入口处的明显位置应设置标示避难间的灯光指示标识。</w:t>
      </w:r>
    </w:p>
    <w:p w14:paraId="53D3B8C1">
      <w:pPr>
        <w:ind w:firstLine="560" w:firstLineChars="200"/>
        <w:rPr>
          <w:rFonts w:hint="eastAsia" w:ascii="宋体" w:hAnsi="宋体" w:eastAsia="宋体" w:cs="宋体"/>
          <w:color w:val="000000"/>
          <w:sz w:val="28"/>
        </w:rPr>
      </w:pPr>
      <w:r>
        <w:rPr>
          <w:rFonts w:hint="eastAsia" w:ascii="宋体" w:hAnsi="宋体" w:eastAsia="宋体" w:cs="宋体"/>
          <w:color w:val="000000"/>
          <w:sz w:val="28"/>
        </w:rPr>
        <w:t>《建筑设计防火规范》GB 50016-2014（2018年版）第5.5.24条， 4 应设置消防专线电话和应急广播。 5 避难间的入口处应设置明显的指示标志。</w:t>
      </w:r>
    </w:p>
    <w:p w14:paraId="7C63A405">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8480" behindDoc="0" locked="0" layoutInCell="1" allowOverlap="1">
            <wp:simplePos x="0" y="0"/>
            <wp:positionH relativeFrom="margin">
              <wp:align>center</wp:align>
            </wp:positionH>
            <wp:positionV relativeFrom="paragraph">
              <wp:posOffset>937895</wp:posOffset>
            </wp:positionV>
            <wp:extent cx="5260975" cy="2209800"/>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65316" cy="2211623"/>
                    </a:xfrm>
                    <a:prstGeom prst="rect">
                      <a:avLst/>
                    </a:prstGeom>
                    <a:noFill/>
                    <a:ln>
                      <a:noFill/>
                    </a:ln>
                  </pic:spPr>
                </pic:pic>
              </a:graphicData>
            </a:graphic>
          </wp:anchor>
        </w:drawing>
      </w:r>
      <w:r>
        <w:rPr>
          <w:rFonts w:hint="eastAsia" w:ascii="宋体" w:hAnsi="宋体" w:eastAsia="宋体" w:cs="宋体"/>
          <w:color w:val="000000"/>
          <w:sz w:val="28"/>
        </w:rPr>
        <w:t>案例：某养老设施装修工程，避难间内未设置消防专线电话和应急广播；避难间入口处的未设置标示避难间的灯光指示标识。</w:t>
      </w:r>
    </w:p>
    <w:p w14:paraId="159840D7">
      <w:pPr>
        <w:ind w:firstLine="420" w:firstLineChars="200"/>
        <w:rPr>
          <w:rFonts w:hint="eastAsia" w:ascii="宋体" w:hAnsi="宋体" w:eastAsia="宋体" w:cs="宋体"/>
          <w:color w:val="000000"/>
          <w:sz w:val="28"/>
        </w:rPr>
      </w:pPr>
      <w:r>
        <w:rPr>
          <w:rFonts w:ascii="宋体" w:hAnsi="宋体" w:eastAsia="宋体"/>
        </w:rPr>
        <w:drawing>
          <wp:anchor distT="0" distB="0" distL="114300" distR="114300" simplePos="0" relativeHeight="251669504" behindDoc="0" locked="0" layoutInCell="1" allowOverlap="1">
            <wp:simplePos x="0" y="0"/>
            <wp:positionH relativeFrom="margin">
              <wp:posOffset>5715</wp:posOffset>
            </wp:positionH>
            <wp:positionV relativeFrom="paragraph">
              <wp:posOffset>2785110</wp:posOffset>
            </wp:positionV>
            <wp:extent cx="5304155" cy="2230120"/>
            <wp:effectExtent l="0" t="0" r="0" b="0"/>
            <wp:wrapTopAndBottom/>
            <wp:docPr id="1979470498" name="图片 197947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470498" name="图片 197947049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304155" cy="2230120"/>
                    </a:xfrm>
                    <a:prstGeom prst="rect">
                      <a:avLst/>
                    </a:prstGeom>
                    <a:noFill/>
                    <a:ln>
                      <a:noFill/>
                    </a:ln>
                  </pic:spPr>
                </pic:pic>
              </a:graphicData>
            </a:graphic>
          </wp:anchor>
        </w:drawing>
      </w:r>
    </w:p>
    <w:p w14:paraId="0CFC36AD">
      <w:pPr>
        <w:rPr>
          <w:rFonts w:hint="eastAsia" w:ascii="宋体" w:hAnsi="宋体" w:eastAsia="宋体" w:cs="Times New Roman"/>
          <w:sz w:val="32"/>
          <w:szCs w:val="32"/>
        </w:rPr>
      </w:pPr>
    </w:p>
    <w:p w14:paraId="61DFFDAE">
      <w:pPr>
        <w:jc w:val="center"/>
        <w:rPr>
          <w:rFonts w:hint="eastAsia" w:ascii="宋体" w:hAnsi="宋体" w:eastAsia="宋体" w:cs="Times New Roman"/>
          <w:sz w:val="32"/>
          <w:szCs w:val="32"/>
        </w:rPr>
      </w:pPr>
      <w:r>
        <w:rPr>
          <w:rFonts w:hint="eastAsia" w:ascii="宋体" w:hAnsi="宋体" w:eastAsia="宋体" w:cs="Times New Roman"/>
          <w:sz w:val="32"/>
          <w:szCs w:val="32"/>
        </w:rPr>
        <w:t>5  暖通</w:t>
      </w:r>
    </w:p>
    <w:p w14:paraId="6913DB84">
      <w:pPr>
        <w:ind w:firstLine="544" w:firstLineChars="200"/>
        <w:rPr>
          <w:rFonts w:hint="eastAsia" w:ascii="宋体" w:hAnsi="宋体" w:eastAsia="宋体" w:cstheme="minorEastAsia"/>
          <w:sz w:val="28"/>
          <w:szCs w:val="28"/>
        </w:rPr>
      </w:pPr>
      <w:r>
        <w:rPr>
          <w:rFonts w:hint="eastAsia" w:ascii="宋体" w:hAnsi="宋体" w:eastAsia="宋体" w:cstheme="minorEastAsia"/>
          <w:spacing w:val="-4"/>
          <w:sz w:val="28"/>
          <w:szCs w:val="28"/>
        </w:rPr>
        <w:t>5.0.1</w:t>
      </w:r>
      <w:r>
        <w:rPr>
          <w:rFonts w:hint="eastAsia" w:ascii="宋体" w:hAnsi="宋体" w:eastAsia="宋体" w:cstheme="minorEastAsia"/>
          <w:sz w:val="28"/>
          <w:szCs w:val="28"/>
        </w:rPr>
        <w:t>地下走道、地下房间以及地上大于500</w:t>
      </w:r>
      <w:r>
        <w:rPr>
          <w:rFonts w:hint="eastAsia" w:ascii="宋体" w:hAnsi="宋体" w:eastAsia="宋体" w:cs="宋体"/>
          <w:sz w:val="28"/>
          <w:szCs w:val="28"/>
        </w:rPr>
        <w:t>㎡</w:t>
      </w:r>
      <w:r>
        <w:rPr>
          <w:rFonts w:hint="eastAsia" w:ascii="宋体" w:hAnsi="宋体" w:eastAsia="宋体" w:cstheme="minorEastAsia"/>
          <w:sz w:val="28"/>
          <w:szCs w:val="28"/>
        </w:rPr>
        <w:t>的房间设置排烟设施时未设置补风措施，或补风未从室外直接引入。</w:t>
      </w:r>
    </w:p>
    <w:p w14:paraId="39D958F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"https://gf.cabr-fire.com/list-1534.htm" </w:instrText>
      </w:r>
      <w:r>
        <w:fldChar w:fldCharType="separate"/>
      </w:r>
      <w:r>
        <w:rPr>
          <w:rFonts w:hint="eastAsia" w:ascii="宋体" w:hAnsi="宋体" w:eastAsia="宋体" w:cstheme="minorEastAsia"/>
          <w:sz w:val="28"/>
          <w:szCs w:val="28"/>
        </w:rPr>
        <w:t>消防设施通用规范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55036-2022第11.3.6条：“除地上建筑的走道或地上建筑面积小于500㎡的房间外，设置排烟系统的场所应能直接从室外引入空气补风，且补风量和补风口的风速应满足排烟系统有效排烟的要求。”</w:t>
      </w:r>
    </w:p>
    <w:p w14:paraId="6236681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机械排烟补风可采用自然补风或机械补风的方式，自然排烟不应采用机械补风的方式。</w:t>
      </w:r>
    </w:p>
    <w:p w14:paraId="5C4470A8">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地下房间及地下走道采用机械排烟时，补风口应与排烟口设置在同一空间内，例如：走道内设有排烟口时需在走道设置补风口，房间内设有排烟口时应在房间内设置补风口。补风系统应设置相应的控制切换措施，</w:t>
      </w:r>
      <w:r>
        <w:rPr>
          <w:rFonts w:hint="eastAsia" w:ascii="宋体" w:hAnsi="宋体" w:eastAsia="宋体" w:cs="宋体"/>
          <w:sz w:val="28"/>
          <w:szCs w:val="28"/>
        </w:rPr>
        <w:t>满足排烟区域的补风量不低于50%排烟量的要求</w:t>
      </w:r>
      <w:r>
        <w:rPr>
          <w:rFonts w:hint="eastAsia" w:ascii="宋体" w:hAnsi="宋体" w:eastAsia="宋体" w:cstheme="minorEastAsia"/>
          <w:sz w:val="28"/>
          <w:szCs w:val="28"/>
        </w:rPr>
        <w:t>。</w:t>
      </w:r>
    </w:p>
    <w:p w14:paraId="48A2B43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案例：某项目地下大于50㎡经常有人员停留的房间设置机械排烟设施时，房间内仅设有机械排烟口，未在房间内设置相应补风口。设计违规，如下图：</w:t>
      </w:r>
    </w:p>
    <w:p w14:paraId="24E9BF36">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1939290" cy="215900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1953729" cy="2175087"/>
                    </a:xfrm>
                    <a:prstGeom prst="rect">
                      <a:avLst/>
                    </a:prstGeom>
                    <a:noFill/>
                    <a:ln>
                      <a:noFill/>
                    </a:ln>
                  </pic:spPr>
                </pic:pic>
              </a:graphicData>
            </a:graphic>
          </wp:inline>
        </w:drawing>
      </w:r>
    </w:p>
    <w:p w14:paraId="36594ACB">
      <w:pPr>
        <w:widowControl/>
        <w:ind w:firstLine="480" w:firstLineChars="200"/>
        <w:jc w:val="center"/>
        <w:rPr>
          <w:rFonts w:hint="eastAsia" w:ascii="宋体" w:hAnsi="宋体" w:eastAsia="宋体" w:cs="宋体"/>
          <w:kern w:val="0"/>
          <w:sz w:val="24"/>
          <w:szCs w:val="24"/>
        </w:rPr>
      </w:pPr>
    </w:p>
    <w:p w14:paraId="1A970EDD">
      <w:pPr>
        <w:ind w:firstLine="544" w:firstLineChars="200"/>
        <w:rPr>
          <w:rFonts w:hint="eastAsia" w:ascii="宋体" w:hAnsi="宋体" w:eastAsia="宋体" w:cstheme="minorEastAsia"/>
          <w:spacing w:val="-4"/>
          <w:sz w:val="28"/>
          <w:szCs w:val="28"/>
        </w:rPr>
      </w:pPr>
      <w:r>
        <w:rPr>
          <w:rFonts w:hint="eastAsia" w:ascii="宋体" w:hAnsi="宋体" w:eastAsia="宋体" w:cstheme="minorEastAsia"/>
          <w:spacing w:val="-4"/>
          <w:sz w:val="28"/>
          <w:szCs w:val="28"/>
        </w:rPr>
        <w:t>5.0.2 疏散通道、疏散走道、疏散出口处固定或活动挡烟垂壁底部距地高度低于2.1m。</w:t>
      </w:r>
    </w:p>
    <w:p w14:paraId="3021E1D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 第7.1.5条：“在疏散通道、疏散走道、疏散出口处，不应有任何影响人员疏散的物体，并应在疏散通道、疏散走道、疏散出口的明显位置设置明显的指示标志。疏散通道、疏散走道、疏散出口的净高度均不应小于2.1m。”</w:t>
      </w:r>
    </w:p>
    <w:p w14:paraId="1EE1DFB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案例一：某项目在敞开楼梯间位置设置有固定挡烟垂壁，但挡烟垂壁距地高度低于2.1m。设计违规，如下图：</w:t>
      </w:r>
    </w:p>
    <w:p w14:paraId="5A50CE9E">
      <w:pPr>
        <w:ind w:firstLine="560" w:firstLineChars="200"/>
        <w:jc w:val="center"/>
        <w:rPr>
          <w:rFonts w:hint="eastAsia" w:ascii="宋体" w:hAnsi="宋体" w:eastAsia="宋体" w:cstheme="minorEastAsia"/>
          <w:sz w:val="28"/>
          <w:szCs w:val="28"/>
        </w:rPr>
      </w:pPr>
      <w:r>
        <w:rPr>
          <w:rFonts w:hint="eastAsia" w:ascii="宋体" w:hAnsi="宋体" w:eastAsia="宋体" w:cstheme="minorEastAsia"/>
          <w:sz w:val="28"/>
          <w:szCs w:val="28"/>
        </w:rPr>
        <w:drawing>
          <wp:inline distT="0" distB="0" distL="0" distR="0">
            <wp:extent cx="1537335" cy="1678940"/>
            <wp:effectExtent l="0" t="0" r="5715" b="0"/>
            <wp:docPr id="886350626" name="图片 88635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50626" name="图片 8863506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565050" cy="1709048"/>
                    </a:xfrm>
                    <a:prstGeom prst="rect">
                      <a:avLst/>
                    </a:prstGeom>
                    <a:noFill/>
                    <a:ln>
                      <a:noFill/>
                    </a:ln>
                  </pic:spPr>
                </pic:pic>
              </a:graphicData>
            </a:graphic>
          </wp:inline>
        </w:drawing>
      </w:r>
    </w:p>
    <w:p w14:paraId="69135A6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案例二：某项目在疏散走道顶部设置有活动挡烟垂壁，挡烟垂壁落下时底部距地高度低于2.1m。设计违规，如下图：</w:t>
      </w:r>
    </w:p>
    <w:p w14:paraId="267F83C0">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220720" cy="1711325"/>
            <wp:effectExtent l="0" t="0" r="0" b="3175"/>
            <wp:docPr id="274912635" name="图片 27491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12635" name="图片 2749126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3251662" cy="1727918"/>
                    </a:xfrm>
                    <a:prstGeom prst="rect">
                      <a:avLst/>
                    </a:prstGeom>
                    <a:noFill/>
                    <a:ln>
                      <a:noFill/>
                    </a:ln>
                  </pic:spPr>
                </pic:pic>
              </a:graphicData>
            </a:graphic>
          </wp:inline>
        </w:drawing>
      </w:r>
    </w:p>
    <w:p w14:paraId="04EE12E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5.0.3 设置排烟设施的建筑内，敞开楼梯间穿越楼板的开口部位未设置挡烟垂壁</w:t>
      </w:r>
      <w:r>
        <w:rPr>
          <w:rFonts w:hint="eastAsia" w:ascii="宋体" w:hAnsi="宋体" w:eastAsia="宋体" w:cs="宋体"/>
          <w:sz w:val="28"/>
          <w:szCs w:val="28"/>
        </w:rPr>
        <w:t>。</w:t>
      </w:r>
    </w:p>
    <w:p w14:paraId="3C58CE16">
      <w:pPr>
        <w:widowControl/>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依据：《建筑防烟排烟系统技术标准》GB51251-2017第4.2.3条：“设置排烟设施的建筑内，敞开楼梯和自动扶梯穿越楼板的开口部应设置挡烟垂壁等设施。”</w:t>
      </w:r>
    </w:p>
    <w:p w14:paraId="35E7007A">
      <w:pPr>
        <w:widowControl/>
        <w:ind w:firstLine="560" w:firstLineChars="200"/>
        <w:rPr>
          <w:rFonts w:hint="eastAsia" w:ascii="宋体" w:hAnsi="宋体" w:eastAsia="宋体" w:cstheme="minorEastAsia"/>
          <w:sz w:val="28"/>
          <w:szCs w:val="28"/>
        </w:rPr>
      </w:pPr>
      <w:r>
        <w:rPr>
          <w:rFonts w:hint="eastAsia" w:ascii="宋体" w:hAnsi="宋体" w:eastAsia="宋体" w:cs="宋体"/>
          <w:sz w:val="28"/>
          <w:szCs w:val="28"/>
        </w:rPr>
        <w:t>《建设工程消防设计常见错误（2024年3月版）》（渝建消防〔2024〕7号）第5.0.5条。</w:t>
      </w:r>
    </w:p>
    <w:p w14:paraId="7A0A2408">
      <w:pPr>
        <w:ind w:firstLine="560" w:firstLineChars="200"/>
        <w:rPr>
          <w:rFonts w:hint="eastAsia" w:ascii="宋体" w:hAnsi="宋体" w:eastAsia="宋体" w:cs="宋体"/>
          <w:sz w:val="28"/>
          <w:szCs w:val="28"/>
        </w:rPr>
      </w:pPr>
      <w:r>
        <w:rPr>
          <w:rFonts w:hint="eastAsia" w:ascii="宋体" w:hAnsi="宋体" w:eastAsia="宋体" w:cs="宋体"/>
          <w:sz w:val="28"/>
          <w:szCs w:val="28"/>
        </w:rPr>
        <w:t>按上述要求，敞开楼梯穿越楼板的开口部位应设置挡烟垂壁，敞开楼梯的最高层因为没有穿越楼板的开口，故可不设置挡烟垂壁。</w:t>
      </w:r>
    </w:p>
    <w:p w14:paraId="72152D55">
      <w:pPr>
        <w:ind w:firstLine="560" w:firstLineChars="200"/>
        <w:rPr>
          <w:rFonts w:hint="eastAsia" w:ascii="宋体" w:hAnsi="宋体" w:eastAsia="宋体" w:cs="宋体"/>
          <w:sz w:val="28"/>
          <w:szCs w:val="28"/>
        </w:rPr>
      </w:pPr>
      <w:r>
        <w:rPr>
          <w:rFonts w:hint="eastAsia" w:ascii="宋体" w:hAnsi="宋体" w:eastAsia="宋体" w:cs="宋体"/>
          <w:sz w:val="28"/>
          <w:szCs w:val="28"/>
        </w:rPr>
        <w:t>案例：某工程采用的是敞开楼梯，开口处未设置挡烟垂壁。</w:t>
      </w:r>
    </w:p>
    <w:p w14:paraId="3178FB68">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2016760" cy="2133600"/>
            <wp:effectExtent l="0" t="0" r="2540" b="0"/>
            <wp:docPr id="337961759" name="图片 33796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1759" name="图片 33796175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040209" cy="2157810"/>
                    </a:xfrm>
                    <a:prstGeom prst="rect">
                      <a:avLst/>
                    </a:prstGeom>
                    <a:noFill/>
                    <a:ln>
                      <a:noFill/>
                    </a:ln>
                  </pic:spPr>
                </pic:pic>
              </a:graphicData>
            </a:graphic>
          </wp:inline>
        </w:drawing>
      </w:r>
    </w:p>
    <w:p w14:paraId="0951A36B">
      <w:pPr>
        <w:widowControl/>
        <w:ind w:firstLine="480" w:firstLineChars="200"/>
        <w:jc w:val="center"/>
        <w:rPr>
          <w:rFonts w:hint="eastAsia" w:ascii="宋体" w:hAnsi="宋体" w:eastAsia="宋体" w:cstheme="minorEastAsia"/>
          <w:kern w:val="0"/>
          <w:sz w:val="24"/>
          <w:szCs w:val="24"/>
        </w:rPr>
      </w:pPr>
    </w:p>
    <w:p w14:paraId="1BF7032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特殊情况：</w:t>
      </w:r>
      <w:r>
        <w:rPr>
          <w:rFonts w:ascii="宋体" w:hAnsi="宋体" w:eastAsia="宋体" w:cstheme="minorEastAsia"/>
          <w:sz w:val="28"/>
          <w:szCs w:val="28"/>
        </w:rPr>
        <w:t>内部设置连通楼梯的</w:t>
      </w:r>
      <w:r>
        <w:rPr>
          <w:rFonts w:hint="eastAsia" w:ascii="宋体" w:hAnsi="宋体" w:eastAsia="宋体" w:cstheme="minorEastAsia"/>
          <w:sz w:val="28"/>
          <w:szCs w:val="28"/>
        </w:rPr>
        <w:t>住宅底层</w:t>
      </w:r>
      <w:r>
        <w:rPr>
          <w:rFonts w:ascii="宋体" w:hAnsi="宋体" w:eastAsia="宋体" w:cstheme="minorEastAsia"/>
          <w:sz w:val="28"/>
          <w:szCs w:val="28"/>
        </w:rPr>
        <w:t>商业</w:t>
      </w:r>
      <w:r>
        <w:rPr>
          <w:rFonts w:hint="eastAsia" w:ascii="宋体" w:hAnsi="宋体" w:eastAsia="宋体" w:cstheme="minorEastAsia"/>
          <w:sz w:val="28"/>
          <w:szCs w:val="28"/>
        </w:rPr>
        <w:t>，其挡烟垂壁的设置参照《重庆市建设工程消防设计问题答复》（2024年5月版）</w:t>
      </w:r>
      <w:r>
        <w:rPr>
          <w:rFonts w:ascii="宋体" w:hAnsi="宋体" w:eastAsia="宋体" w:cstheme="minorEastAsia"/>
          <w:sz w:val="28"/>
          <w:szCs w:val="28"/>
        </w:rPr>
        <w:t>编号：20240510-暖通-001</w:t>
      </w:r>
      <w:r>
        <w:rPr>
          <w:rFonts w:hint="eastAsia" w:ascii="宋体" w:hAnsi="宋体" w:eastAsia="宋体" w:cstheme="minorEastAsia"/>
          <w:sz w:val="28"/>
          <w:szCs w:val="28"/>
        </w:rPr>
        <w:t>5规定执行。</w:t>
      </w:r>
    </w:p>
    <w:p w14:paraId="6E40F3B7">
      <w:pPr>
        <w:widowControl/>
        <w:ind w:firstLine="480" w:firstLineChars="200"/>
        <w:jc w:val="center"/>
        <w:rPr>
          <w:rFonts w:hint="eastAsia" w:ascii="宋体" w:hAnsi="宋体" w:eastAsia="宋体" w:cstheme="minorEastAsia"/>
          <w:kern w:val="0"/>
          <w:sz w:val="24"/>
          <w:szCs w:val="24"/>
        </w:rPr>
      </w:pPr>
    </w:p>
    <w:p w14:paraId="4CD299A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5.0.4 防烟分区采用自然排烟方式时，储烟仓厚度小于空间净高的20%。</w:t>
      </w:r>
    </w:p>
    <w:p w14:paraId="465E9F1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"https://gf.cabr-fire.com/list-998.htm" </w:instrText>
      </w:r>
      <w:r>
        <w:fldChar w:fldCharType="separate"/>
      </w:r>
      <w:r>
        <w:rPr>
          <w:rFonts w:hint="eastAsia" w:ascii="宋体" w:hAnsi="宋体" w:eastAsia="宋体" w:cstheme="minorEastAsia"/>
          <w:sz w:val="28"/>
          <w:szCs w:val="28"/>
        </w:rPr>
        <w:t>建筑防烟排烟系统技术标准</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51251-2017 第4.6.2条：“当采用自然排烟方式时，储烟仓的厚度不应小于空间净高的20%，且不应小于500mm；当采用机械排烟方式时，不应小于空间净高的10%，且不应小于500mm。”</w:t>
      </w:r>
    </w:p>
    <w:p w14:paraId="370B4C38">
      <w:pPr>
        <w:ind w:firstLine="560" w:firstLineChars="200"/>
        <w:rPr>
          <w:rFonts w:hint="eastAsia" w:ascii="宋体" w:hAnsi="宋体" w:eastAsia="宋体" w:cstheme="minorEastAsia"/>
          <w:color w:val="FF0000"/>
          <w:sz w:val="28"/>
          <w:szCs w:val="28"/>
        </w:rPr>
      </w:pPr>
      <w:r>
        <w:rPr>
          <w:rFonts w:hint="eastAsia" w:ascii="宋体" w:hAnsi="宋体" w:eastAsia="宋体" w:cstheme="minorEastAsia"/>
          <w:sz w:val="28"/>
          <w:szCs w:val="28"/>
        </w:rPr>
        <w:t>案例：某项目房间净高5m，采用自然排烟，储烟仓的厚度取值为800mm，仅满足了储烟仓厚度不小于500mm的要求，未满足储烟仓厚度不应小于空间净高的20%的要求。</w:t>
      </w:r>
    </w:p>
    <w:p w14:paraId="4777BFA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5.0.5 设计中忽略了防火窗在发生火灾时自动关闭防火的功能，将防火窗作为自然排烟窗使用。</w:t>
      </w:r>
    </w:p>
    <w:p w14:paraId="58007C8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 第6.4.1条：“6.4.1 防火门、防火窗应具有自动关闭的功能，在关闭后应具有烟密闭的性能。”</w:t>
      </w:r>
    </w:p>
    <w:p w14:paraId="25B6217C">
      <w:pPr>
        <w:widowControl/>
        <w:ind w:firstLine="560" w:firstLineChars="200"/>
        <w:rPr>
          <w:rFonts w:hint="eastAsia" w:ascii="宋体" w:hAnsi="宋体" w:eastAsia="宋体" w:cstheme="minorEastAsia"/>
          <w:sz w:val="28"/>
          <w:szCs w:val="28"/>
        </w:rPr>
      </w:pPr>
      <w:r>
        <w:rPr>
          <w:rFonts w:hint="eastAsia" w:ascii="宋体" w:hAnsi="宋体" w:eastAsia="宋体" w:cs="宋体"/>
          <w:sz w:val="28"/>
          <w:szCs w:val="28"/>
        </w:rPr>
        <w:t>《建设工程消防设计常见错误（2024年3月版）》（渝建消防〔2024〕7号）第5.0.24条。</w:t>
      </w:r>
    </w:p>
    <w:p w14:paraId="572F4EB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案例：某项目将甲级防火窗作为自然排烟窗使用，防火窗在发生火灾时不可开启，该房间无法满足自然排烟要求。设计违规，如下图：</w:t>
      </w:r>
    </w:p>
    <w:p w14:paraId="4CEC8772">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485515" cy="2514600"/>
            <wp:effectExtent l="0" t="0" r="635" b="0"/>
            <wp:docPr id="2079732560" name="图片 207973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732560" name="图片 20797325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3516187" cy="2536728"/>
                    </a:xfrm>
                    <a:prstGeom prst="rect">
                      <a:avLst/>
                    </a:prstGeom>
                    <a:noFill/>
                    <a:ln>
                      <a:noFill/>
                    </a:ln>
                  </pic:spPr>
                </pic:pic>
              </a:graphicData>
            </a:graphic>
          </wp:inline>
        </w:drawing>
      </w:r>
    </w:p>
    <w:p w14:paraId="2386D02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5.0.6 通风及空气调节系统风管在穿越防火墙、防火隔墙位置漏设防火阀。</w:t>
      </w:r>
    </w:p>
    <w:p w14:paraId="05EC757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第6.3.5条：“通风和空气调节系统的管道、防烟与排烟系统的管道穿过防火墙、防火隔墙、楼板、建筑变形缝处，建筑内未按防火分区独立设置的通风和空气调节系统中的竖向风管与每层水平风管交接的水平管段处，均应采取防止火灾通过管道蔓延至其他防火分隔区域的措施。”</w:t>
      </w:r>
    </w:p>
    <w:p w14:paraId="5B63DF8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装饰设计阶段应提供主体工程经审查合格的相关施工图及技术资料以及防火分区示意图，且防排烟消防设计图纸应保留门窗信息以便区分防火墙、防火隔墙位置，设计文件须按照《重庆市建筑内部装修工程施工图消防设计文件编制技术规定》进行编制。</w:t>
      </w:r>
    </w:p>
    <w:p w14:paraId="2184055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案例：某项目空调风管穿越隔墙位置未显示门窗信息，但装饰图中此门为乙级防火门，该隔墙应为防火隔墙，空调风管穿越该防火隔墙处漏设70℃防火阀。设计违规，如下图：</w:t>
      </w:r>
    </w:p>
    <w:p w14:paraId="60CD50F0">
      <w:pPr>
        <w:widowControl/>
        <w:ind w:firstLine="480" w:firstLineChars="200"/>
        <w:jc w:val="center"/>
        <w:rPr>
          <w:rFonts w:hint="eastAsia" w:ascii="宋体" w:hAnsi="宋体" w:eastAsia="宋体" w:cstheme="minorEastAsia"/>
          <w:kern w:val="0"/>
          <w:sz w:val="24"/>
          <w:szCs w:val="24"/>
        </w:rPr>
      </w:pPr>
      <w:r>
        <w:rPr>
          <w:rFonts w:hint="eastAsia" w:ascii="宋体" w:hAnsi="宋体" w:eastAsia="宋体" w:cstheme="minorEastAsia"/>
          <w:kern w:val="0"/>
          <w:sz w:val="24"/>
          <w:szCs w:val="24"/>
        </w:rPr>
        <w:drawing>
          <wp:inline distT="0" distB="0" distL="0" distR="0">
            <wp:extent cx="2030095" cy="2428875"/>
            <wp:effectExtent l="0" t="0" r="8255"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044011" cy="2445525"/>
                    </a:xfrm>
                    <a:prstGeom prst="rect">
                      <a:avLst/>
                    </a:prstGeom>
                    <a:noFill/>
                    <a:ln>
                      <a:noFill/>
                    </a:ln>
                  </pic:spPr>
                </pic:pic>
              </a:graphicData>
            </a:graphic>
          </wp:inline>
        </w:drawing>
      </w:r>
    </w:p>
    <w:p w14:paraId="3FA6F6D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5.0.7 采用自然通风的消防电梯前室（独立前室）或合用前室设置可开启外窗面积不足，不能满足规范要求的2㎡或3㎡开窗面积。</w:t>
      </w:r>
    </w:p>
    <w:p w14:paraId="0358159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 51251-2017第3.2.2条：“前室采用自然通风方式时，独立前室、消防电梯前室可开启外窗或开口的面积不应小于2.0㎡，共用前室、合用前室不应小于3.0㎡。”</w:t>
      </w:r>
    </w:p>
    <w:p w14:paraId="6540C48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案例：某项目原土建设计阶段合用前室开窗面积为3.</w:t>
      </w:r>
      <w:r>
        <w:rPr>
          <w:rFonts w:ascii="宋体" w:hAnsi="宋体" w:eastAsia="宋体" w:cstheme="minorEastAsia"/>
          <w:sz w:val="28"/>
          <w:szCs w:val="28"/>
        </w:rPr>
        <w:t>2</w:t>
      </w:r>
      <w:r>
        <w:rPr>
          <w:rFonts w:hint="eastAsia" w:ascii="宋体" w:hAnsi="宋体" w:eastAsia="宋体" w:cs="宋体"/>
          <w:sz w:val="28"/>
          <w:szCs w:val="28"/>
        </w:rPr>
        <w:t>㎡</w:t>
      </w:r>
      <w:r>
        <w:rPr>
          <w:rFonts w:hint="eastAsia" w:ascii="宋体" w:hAnsi="宋体" w:eastAsia="宋体" w:cstheme="minorEastAsia"/>
          <w:sz w:val="28"/>
          <w:szCs w:val="28"/>
        </w:rPr>
        <w:t>，满足规范开窗面积要求。但装饰改造设计时，增加了合用前室外窗固定扇面积，使得外窗可开启面积不满足3</w:t>
      </w:r>
      <w:r>
        <w:rPr>
          <w:rFonts w:hint="eastAsia" w:ascii="宋体" w:hAnsi="宋体" w:eastAsia="宋体" w:cs="宋体"/>
          <w:sz w:val="28"/>
          <w:szCs w:val="28"/>
        </w:rPr>
        <w:t>㎡</w:t>
      </w:r>
      <w:r>
        <w:rPr>
          <w:rFonts w:hint="eastAsia" w:ascii="宋体" w:hAnsi="宋体" w:eastAsia="宋体" w:cstheme="minorEastAsia"/>
          <w:sz w:val="28"/>
          <w:szCs w:val="28"/>
        </w:rPr>
        <w:t>，不满足规范要求。</w:t>
      </w:r>
    </w:p>
    <w:p w14:paraId="00C143B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5.0.8公共燃气厨房或甲乙类火灾危险性房间未设置事故通风系统，事故通风系统未明确在室内外便于操作的地点分别设置手动控制装置，通风系统未设置防静电措施；厨房未靠外墙或未设置外窗，不满足泄爆及通风的要求。</w:t>
      </w:r>
    </w:p>
    <w:p w14:paraId="1150A6C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"https://gf.cabr-fire.com/list-414.htm" </w:instrText>
      </w:r>
      <w:r>
        <w:fldChar w:fldCharType="separate"/>
      </w:r>
      <w:r>
        <w:rPr>
          <w:rFonts w:hint="eastAsia" w:ascii="宋体" w:hAnsi="宋体" w:eastAsia="宋体" w:cstheme="minorEastAsia"/>
          <w:sz w:val="28"/>
          <w:szCs w:val="28"/>
        </w:rPr>
        <w:t>民用建筑供暖通风与空气调节设计规范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50376-2012第6.3.9条：“事故通风应符合下列规定：</w:t>
      </w:r>
    </w:p>
    <w:p w14:paraId="5E1B7A4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 可能突然放散大量有害气体或有爆炸危险气体的场所应设置事故通风。事故通风量宜根据放散物的种类、安全及卫生浓度要求，按全面排风计算确定，且换气次数不应小于12次/h；</w:t>
      </w:r>
    </w:p>
    <w:p w14:paraId="5F2E2A60">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2 事故通风应根据放散物的种类，设置相应的检测报警及控制系统。事故通风的手动控制装置应在室内外便于操作的地点分别设置；</w:t>
      </w:r>
    </w:p>
    <w:p w14:paraId="091C98B8">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3 放散有爆炸危险气体的场所应设置防爆通风设备；”等。</w:t>
      </w:r>
    </w:p>
    <w:p w14:paraId="291B774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55037-2022第4.3.12条：“建筑内使用天然气的部位应便于通风和防爆泄压。”</w:t>
      </w:r>
    </w:p>
    <w:p w14:paraId="1DBBAD9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排除或输送有燃烧或爆炸危险物质的通风设备和风管均应采取防静电接地措施，当风管法兰密封垫料或螺栓垫圈采用非金属材料时，还应采取法兰跨接的措施。</w:t>
      </w:r>
    </w:p>
    <w:p w14:paraId="44006389">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案例：某项目公共厨房既未明确为电厨房，也未设置燃气事故通风系统。设计存在安全隐患，如下图：</w:t>
      </w:r>
    </w:p>
    <w:p w14:paraId="5DF75024">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114300" distR="114300">
            <wp:extent cx="2552065" cy="2999105"/>
            <wp:effectExtent l="0" t="0" r="635" b="0"/>
            <wp:docPr id="50194772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47725" name="图片 2" descr="IMG_256"/>
                    <pic:cNvPicPr>
                      <a:picLocks noChangeAspect="1"/>
                    </pic:cNvPicPr>
                  </pic:nvPicPr>
                  <pic:blipFill>
                    <a:blip r:embed="rId105"/>
                    <a:stretch>
                      <a:fillRect/>
                    </a:stretch>
                  </pic:blipFill>
                  <pic:spPr>
                    <a:xfrm>
                      <a:off x="0" y="0"/>
                      <a:ext cx="2562360" cy="3010904"/>
                    </a:xfrm>
                    <a:prstGeom prst="rect">
                      <a:avLst/>
                    </a:prstGeom>
                    <a:noFill/>
                    <a:ln w="9525">
                      <a:noFill/>
                    </a:ln>
                  </pic:spPr>
                </pic:pic>
              </a:graphicData>
            </a:graphic>
          </wp:inline>
        </w:drawing>
      </w:r>
    </w:p>
    <w:p w14:paraId="73CA58F4">
      <w:pPr>
        <w:widowControl/>
        <w:ind w:firstLine="480" w:firstLineChars="200"/>
        <w:jc w:val="left"/>
        <w:rPr>
          <w:rFonts w:hint="eastAsia" w:ascii="宋体" w:hAnsi="宋体" w:eastAsia="宋体" w:cs="宋体"/>
          <w:kern w:val="0"/>
          <w:sz w:val="24"/>
          <w:szCs w:val="24"/>
        </w:rPr>
      </w:pPr>
    </w:p>
    <w:p w14:paraId="34C38DB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5.0.9 防烟分区长边超过规范允许值要求。</w:t>
      </w:r>
    </w:p>
    <w:p w14:paraId="4D206FB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 51251-2017第4.2.4条：“公共建筑、工业建筑防烟分区的最大允许面积及其长边最大允许长度应符合表4.2.4的规定，当工业建筑采用自然排烟系统时，其防烟分区的长边长度尚不应大于建筑内空间净高的8倍。”</w:t>
      </w:r>
    </w:p>
    <w:p w14:paraId="706B595C">
      <w:pPr>
        <w:jc w:val="center"/>
        <w:rPr>
          <w:rFonts w:hint="eastAsia" w:ascii="宋体" w:hAnsi="宋体" w:eastAsia="宋体" w:cstheme="minorEastAsia"/>
        </w:rPr>
      </w:pPr>
      <w:r>
        <w:rPr>
          <w:rFonts w:hint="eastAsia" w:ascii="宋体" w:hAnsi="宋体" w:eastAsia="宋体" w:cstheme="minorEastAsia"/>
        </w:rPr>
        <w:drawing>
          <wp:inline distT="0" distB="0" distL="0" distR="0">
            <wp:extent cx="5443855" cy="1724660"/>
            <wp:effectExtent l="0" t="0" r="4445" b="8890"/>
            <wp:docPr id="1966677695" name="图片 196667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77695" name="图片 196667769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5453484" cy="1727884"/>
                    </a:xfrm>
                    <a:prstGeom prst="rect">
                      <a:avLst/>
                    </a:prstGeom>
                    <a:noFill/>
                    <a:ln>
                      <a:noFill/>
                    </a:ln>
                  </pic:spPr>
                </pic:pic>
              </a:graphicData>
            </a:graphic>
          </wp:inline>
        </w:drawing>
      </w:r>
    </w:p>
    <w:p w14:paraId="615004F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《重庆市建设工程消防设计问题答复》（2024年5月版）编号：20240510-暖通-0001关于走道主体宽度或有局部区域宽度大于2.5m时防烟分区的划分。</w:t>
      </w:r>
    </w:p>
    <w:p w14:paraId="55DC9E1A">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案例：某丙类工业厂房净高3.3m，采用自然排烟划分防烟分区时，该房间防烟分区长边为33m，该防烟分区长边虽然满足《建筑防烟排烟系统技术标准》GB51251-2017表4.2.4中36m要求，但是大于空间净高8倍（3.3m</w:t>
      </w:r>
      <w:r>
        <w:rPr>
          <w:rFonts w:hint="eastAsia" w:ascii="Malgun Gothic" w:hAnsi="Malgun Gothic" w:eastAsia="Malgun Gothic" w:cstheme="minorEastAsia"/>
          <w:sz w:val="28"/>
          <w:szCs w:val="28"/>
        </w:rPr>
        <w:t>x</w:t>
      </w:r>
      <w:r>
        <w:rPr>
          <w:rFonts w:hint="eastAsia" w:ascii="宋体" w:hAnsi="宋体" w:eastAsia="宋体" w:cstheme="minorEastAsia"/>
          <w:sz w:val="28"/>
          <w:szCs w:val="28"/>
        </w:rPr>
        <w:t>8=26.4m）的限值要求。</w:t>
      </w:r>
    </w:p>
    <w:p w14:paraId="0BAA21C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5.0.10装饰设计范围与非装饰设计范围在原土建设计中划为同一防烟分区，新设计未明确非装饰设计范围的排烟是否由本次装饰范围的排烟设施负担，无法判断本次装饰设计对非装饰设计范围的防排烟设施是否产生影响。</w:t>
      </w:r>
    </w:p>
    <w:p w14:paraId="18DE1946">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依据：《建筑防烟排烟系统技术标准》GB51251-2017第4.2.1条：“设置排烟系统的场所或部位应采用挡烟垂壁、结构梁及隔墙等划分防烟分区。防烟分区不应跨越防火分区。”</w:t>
      </w:r>
    </w:p>
    <w:p w14:paraId="1B7C475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同一防火分区内，当其中一部分为本次装饰设计范围，另一部分非本次设计范围时，应核实并明确非本次设计范围的排烟设施是否与本次装饰范围内排烟设施有关。</w:t>
      </w:r>
    </w:p>
    <w:p w14:paraId="09C94480">
      <w:pPr>
        <w:widowControl/>
        <w:ind w:firstLine="560" w:firstLineChars="200"/>
        <w:jc w:val="left"/>
        <w:rPr>
          <w:rFonts w:hint="eastAsia" w:ascii="宋体" w:hAnsi="宋体" w:eastAsia="宋体" w:cstheme="minorEastAsia"/>
          <w:kern w:val="0"/>
          <w:sz w:val="24"/>
          <w:szCs w:val="24"/>
        </w:rPr>
      </w:pPr>
      <w:r>
        <w:rPr>
          <w:rFonts w:hint="eastAsia" w:ascii="宋体" w:hAnsi="宋体" w:eastAsia="宋体" w:cstheme="minorEastAsia"/>
          <w:sz w:val="28"/>
          <w:szCs w:val="28"/>
        </w:rPr>
        <w:t>案例：某项目装饰设计范围与相邻非本次设计范围的走道直接连通，但防烟分区面积未计入非装饰设计范围的走道面积，造成防烟分区排烟量不足，排烟口距离属于同一防烟分区的非装饰设计范围的最远点处水平距离大于3</w:t>
      </w:r>
      <w:r>
        <w:rPr>
          <w:rFonts w:ascii="宋体" w:hAnsi="宋体" w:eastAsia="宋体" w:cstheme="minorEastAsia"/>
          <w:sz w:val="28"/>
          <w:szCs w:val="28"/>
        </w:rPr>
        <w:t>0</w:t>
      </w:r>
      <w:r>
        <w:rPr>
          <w:rFonts w:hint="eastAsia" w:ascii="宋体" w:hAnsi="宋体" w:eastAsia="宋体" w:cstheme="minorEastAsia"/>
          <w:sz w:val="28"/>
          <w:szCs w:val="28"/>
        </w:rPr>
        <w:t>米；设计违规，如下图。应调整防烟分区划分以及排烟口位置、复核排烟量，以满足规范要求。</w:t>
      </w:r>
    </w:p>
    <w:p w14:paraId="095593F5">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625215" cy="3373120"/>
            <wp:effectExtent l="0" t="0" r="0" b="0"/>
            <wp:docPr id="1174463476" name="图片 117446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63476" name="图片 11744634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3638727" cy="3385623"/>
                    </a:xfrm>
                    <a:prstGeom prst="rect">
                      <a:avLst/>
                    </a:prstGeom>
                    <a:noFill/>
                    <a:ln>
                      <a:noFill/>
                    </a:ln>
                  </pic:spPr>
                </pic:pic>
              </a:graphicData>
            </a:graphic>
          </wp:inline>
        </w:drawing>
      </w:r>
    </w:p>
    <w:p w14:paraId="3319CCF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5.0.11 装饰排烟设计未复核并标示出原土建防火分区的划分，出现一个机械排烟系统负担水平方向2个防火分区的排烟方式。</w:t>
      </w:r>
    </w:p>
    <w:p w14:paraId="7FD9B51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"https://gf.cabr-fire.com/list-1534.htm" </w:instrText>
      </w:r>
      <w:r>
        <w:fldChar w:fldCharType="separate"/>
      </w:r>
      <w:r>
        <w:rPr>
          <w:rFonts w:hint="eastAsia" w:ascii="宋体" w:hAnsi="宋体" w:eastAsia="宋体" w:cstheme="minorEastAsia"/>
          <w:sz w:val="28"/>
          <w:szCs w:val="28"/>
        </w:rPr>
        <w:t>消防设施通用规范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55036-2022第11.3.3条第1款：“机械排烟系统应符合下列规定：1 沿水平方向布置时，应按不同防火分区独立设置；”</w:t>
      </w:r>
    </w:p>
    <w:p w14:paraId="5E06040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案例：某项目排烟系统设计时，忽略了本装饰设计范围跨越了水平方向不同防火分区，导致水平方向不同防火分区合用了同一套排烟系统。设计违规，如下图：</w:t>
      </w:r>
    </w:p>
    <w:p w14:paraId="27D49EEA">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768725" cy="3230245"/>
            <wp:effectExtent l="0" t="0" r="0" b="0"/>
            <wp:docPr id="584423270" name="图片 58442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23270" name="图片 58442327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3823557" cy="3277639"/>
                    </a:xfrm>
                    <a:prstGeom prst="rect">
                      <a:avLst/>
                    </a:prstGeom>
                    <a:noFill/>
                    <a:ln>
                      <a:noFill/>
                    </a:ln>
                  </pic:spPr>
                </pic:pic>
              </a:graphicData>
            </a:graphic>
          </wp:inline>
        </w:drawing>
      </w:r>
    </w:p>
    <w:p w14:paraId="22E136D9">
      <w:pPr>
        <w:ind w:firstLine="560" w:firstLineChars="200"/>
        <w:jc w:val="center"/>
        <w:rPr>
          <w:rFonts w:hint="eastAsia" w:ascii="宋体" w:hAnsi="宋体" w:eastAsia="宋体" w:cstheme="minorEastAsia"/>
          <w:sz w:val="28"/>
          <w:szCs w:val="28"/>
        </w:rPr>
      </w:pPr>
      <w:r>
        <w:rPr>
          <w:rFonts w:hint="eastAsia" w:ascii="宋体" w:hAnsi="宋体" w:eastAsia="宋体" w:cstheme="minorEastAsia"/>
          <w:sz w:val="28"/>
          <w:szCs w:val="28"/>
        </w:rPr>
        <w:t xml:space="preserve"> </w:t>
      </w:r>
      <w:r>
        <w:rPr>
          <w:rFonts w:ascii="宋体" w:hAnsi="宋体" w:eastAsia="宋体" w:cstheme="minorEastAsia"/>
          <w:sz w:val="28"/>
          <w:szCs w:val="28"/>
        </w:rPr>
        <w:t xml:space="preserve"> </w:t>
      </w:r>
    </w:p>
    <w:p w14:paraId="3501F36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w:t>
      </w:r>
      <w:r>
        <w:rPr>
          <w:rFonts w:ascii="宋体" w:hAnsi="宋体" w:eastAsia="宋体" w:cstheme="minorEastAsia"/>
          <w:sz w:val="28"/>
          <w:szCs w:val="28"/>
        </w:rPr>
        <w:t>2</w:t>
      </w:r>
      <w:r>
        <w:rPr>
          <w:rFonts w:hint="eastAsia" w:ascii="宋体" w:hAnsi="宋体" w:eastAsia="宋体" w:cstheme="minorEastAsia"/>
          <w:sz w:val="28"/>
          <w:szCs w:val="28"/>
        </w:rPr>
        <w:t>加压送风、排烟及补风风机未设置在风机房内。</w:t>
      </w:r>
    </w:p>
    <w:p w14:paraId="26E2B43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依据：《建筑防烟排烟系统技术标准》GB51251-2017第3.3.5条第5款：“送风机应设置在专用机房内，送风机房并应符合现行国家标准《建筑设计防火规范》GB 50016的规定。”；第4.4.5条：“排烟风机应设置在专用机房内，并应符合本标准第3.3.5条第5款的规定，且风机两侧应有600mm以上的空间”；第4.5.3条：“补风系统可采用疏散外门、手动或自动可开启外窗等自然进风方式以及机械送风方式。防火门、窗不得用作补风设施。风机应设置在专用机房内”。</w:t>
      </w:r>
    </w:p>
    <w:p w14:paraId="6227A17A">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排烟风机不得与正压送风机、消防补风风机合用机房；正压送风风机、消防补风风机可与其他普通送风风机、空调机组合用机房。</w:t>
      </w:r>
    </w:p>
    <w:p w14:paraId="256AB1D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排烟风机与排风风机的合用机房应符合《建筑防烟排烟系统技术标准》GB51251-2017第4.4.5条的要求。</w:t>
      </w:r>
    </w:p>
    <w:p w14:paraId="0934795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案例：某项目新增设的消防排烟风机直接吊装于功能房间顶部，未设置在专用风机房内。设计违规，如下图：</w:t>
      </w:r>
    </w:p>
    <w:p w14:paraId="3D20C7D7">
      <w:pPr>
        <w:widowControl/>
        <w:ind w:firstLine="480" w:firstLineChars="200"/>
        <w:jc w:val="center"/>
        <w:rPr>
          <w:rFonts w:hint="eastAsia" w:ascii="宋体" w:hAnsi="宋体" w:eastAsia="宋体" w:cstheme="minorEastAsia"/>
          <w:kern w:val="0"/>
          <w:sz w:val="24"/>
          <w:szCs w:val="24"/>
        </w:rPr>
      </w:pPr>
      <w:r>
        <w:rPr>
          <w:rFonts w:hint="eastAsia" w:ascii="宋体" w:hAnsi="宋体" w:eastAsia="宋体" w:cstheme="minorEastAsia"/>
          <w:kern w:val="0"/>
          <w:sz w:val="24"/>
          <w:szCs w:val="24"/>
        </w:rPr>
        <w:drawing>
          <wp:inline distT="0" distB="0" distL="0" distR="0">
            <wp:extent cx="2409190" cy="2493645"/>
            <wp:effectExtent l="0" t="0" r="0" b="1905"/>
            <wp:docPr id="496314226" name="图片 49631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14226" name="图片 49631422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415280" cy="2499541"/>
                    </a:xfrm>
                    <a:prstGeom prst="rect">
                      <a:avLst/>
                    </a:prstGeom>
                    <a:noFill/>
                    <a:ln>
                      <a:noFill/>
                    </a:ln>
                  </pic:spPr>
                </pic:pic>
              </a:graphicData>
            </a:graphic>
          </wp:inline>
        </w:drawing>
      </w:r>
    </w:p>
    <w:p w14:paraId="2D9F61E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特殊情况:装饰设计采用的消防风机为原土建设计时的风机，该风机原设计未设置在专用机房内。装饰设计时如未改变原有风机的设备参数，则原有风机可不要求设置在专用风机房内。装饰设计中应注明风机为原有消防风机。</w:t>
      </w:r>
    </w:p>
    <w:p w14:paraId="567B390D">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w:t>
      </w:r>
      <w:r>
        <w:rPr>
          <w:rFonts w:ascii="宋体" w:hAnsi="宋体" w:eastAsia="宋体" w:cstheme="minorEastAsia"/>
          <w:sz w:val="28"/>
          <w:szCs w:val="28"/>
        </w:rPr>
        <w:t>3</w:t>
      </w:r>
      <w:r>
        <w:rPr>
          <w:rFonts w:hint="eastAsia" w:ascii="宋体" w:hAnsi="宋体" w:eastAsia="宋体" w:cstheme="minorEastAsia"/>
          <w:sz w:val="28"/>
          <w:szCs w:val="28"/>
        </w:rPr>
        <w:t>装饰设计时改变了原排烟系统负担的防烟分区范围或防烟分区面积，导致原排烟系统风量不足。</w:t>
      </w:r>
    </w:p>
    <w:p w14:paraId="50487DAA">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依据：《建筑防烟排烟系统技术标准》GB51251-2017第4.6.4条：“当一个排烟系统担负多个防烟分区排烟时,其系统排烟量的计算应符合下列规定：</w:t>
      </w:r>
    </w:p>
    <w:p w14:paraId="0809C9B7">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 当系统负担具有相同净高场所时,对于建筑空间净高大于6m的场所,应按排烟量最大的一个防烟分区的排烟量计算；对于建筑空间净高为6m及以下的场所，应按同一防火分区中任意两个相邻防烟分区的排烟量之和的最大值计算。</w:t>
      </w:r>
    </w:p>
    <w:p w14:paraId="7A8C149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2 当系统负担真有不同净高场所时,应采用上述方法对系统中每个场所所需的排烟量进行计算,并取其中的最大值作为系统排烟量。”</w:t>
      </w:r>
    </w:p>
    <w:p w14:paraId="6AFFF8D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w:t>
      </w:r>
      <w:r>
        <w:fldChar w:fldCharType="begin"/>
      </w:r>
      <w:r>
        <w:instrText xml:space="preserve"> HYPERLINK "https://gf.cabr-fire.com/list-1534.htm" </w:instrText>
      </w:r>
      <w:r>
        <w:fldChar w:fldCharType="separate"/>
      </w:r>
      <w:r>
        <w:rPr>
          <w:rFonts w:hint="eastAsia" w:ascii="宋体" w:hAnsi="宋体" w:eastAsia="宋体" w:cstheme="minorEastAsia"/>
          <w:sz w:val="28"/>
          <w:szCs w:val="28"/>
        </w:rPr>
        <w:t>消防设施通用规范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》GB55036-2022第11.1.4条：“加压送风机和排烟风机的公称风量，在计算风压条件下不应小于计算所需风量的1.2倍。”</w:t>
      </w:r>
    </w:p>
    <w:p w14:paraId="78FB4612">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装饰设计利用原土建设计加压送风、补风或排烟风机时，应在图中注明</w:t>
      </w:r>
      <w:r>
        <w:rPr>
          <w:rFonts w:hint="eastAsia" w:ascii="宋体" w:hAnsi="宋体" w:eastAsia="宋体" w:cs="宋体"/>
          <w:sz w:val="28"/>
          <w:szCs w:val="28"/>
        </w:rPr>
        <w:t>注明原风机的参数。</w:t>
      </w:r>
    </w:p>
    <w:p w14:paraId="5ABC1041">
      <w:pPr>
        <w:ind w:firstLine="560" w:firstLineChars="200"/>
        <w:rPr>
          <w:rFonts w:hint="eastAsia" w:ascii="宋体" w:hAnsi="宋体" w:eastAsia="宋体" w:cs="宋体"/>
          <w:sz w:val="28"/>
          <w:szCs w:val="28"/>
        </w:rPr>
      </w:pPr>
      <w:r>
        <w:rPr>
          <w:rFonts w:hint="eastAsia" w:ascii="宋体" w:hAnsi="宋体" w:eastAsia="宋体" w:cstheme="minorEastAsia"/>
          <w:sz w:val="28"/>
          <w:szCs w:val="28"/>
        </w:rPr>
        <w:t>案例：</w:t>
      </w:r>
      <w:r>
        <w:rPr>
          <w:rFonts w:hint="eastAsia" w:ascii="宋体" w:hAnsi="宋体" w:eastAsia="宋体" w:cs="宋体"/>
          <w:sz w:val="28"/>
          <w:szCs w:val="28"/>
        </w:rPr>
        <w:t>原土建设计时，靠外墙房间均为面积小于100㎡且有可开启外窗的房间，竖向机械排烟系统仅负担内走道排烟，原排烟风机风量：21</w:t>
      </w:r>
      <w:r>
        <w:rPr>
          <w:rFonts w:ascii="宋体" w:hAnsi="宋体" w:eastAsia="宋体" w:cs="宋体"/>
          <w:sz w:val="28"/>
          <w:szCs w:val="28"/>
        </w:rPr>
        <w:t>000m</w:t>
      </w:r>
      <w:r>
        <w:rPr>
          <w:rFonts w:ascii="宋体" w:hAnsi="宋体" w:eastAsia="宋体" w:cs="宋体"/>
          <w:sz w:val="28"/>
          <w:szCs w:val="28"/>
          <w:vertAlign w:val="superscript"/>
        </w:rPr>
        <w:t>3</w:t>
      </w:r>
      <w:r>
        <w:rPr>
          <w:rFonts w:ascii="宋体" w:hAnsi="宋体" w:eastAsia="宋体" w:cs="宋体"/>
          <w:sz w:val="28"/>
          <w:szCs w:val="28"/>
        </w:rPr>
        <w:t>/h</w:t>
      </w:r>
      <w:r>
        <w:rPr>
          <w:rFonts w:hint="eastAsia" w:ascii="宋体" w:hAnsi="宋体" w:eastAsia="宋体" w:cs="宋体"/>
          <w:sz w:val="28"/>
          <w:szCs w:val="28"/>
        </w:rPr>
        <w:t>。装饰设计时将面积小于100㎡的房间合并为面积大于100㎡的房间，房间采用机械排烟并接入原走道排烟系统，由原走道排烟风机负担，而新的排烟系统风机风量应为（15000+13000）*1.2=33600</w:t>
      </w:r>
      <w:r>
        <w:rPr>
          <w:rFonts w:ascii="宋体" w:hAnsi="宋体" w:eastAsia="宋体" w:cs="宋体"/>
          <w:sz w:val="28"/>
          <w:szCs w:val="28"/>
        </w:rPr>
        <w:t>m</w:t>
      </w:r>
      <w:r>
        <w:rPr>
          <w:rFonts w:ascii="宋体" w:hAnsi="宋体" w:eastAsia="宋体" w:cs="宋体"/>
          <w:sz w:val="28"/>
          <w:szCs w:val="28"/>
          <w:vertAlign w:val="superscript"/>
        </w:rPr>
        <w:t>3</w:t>
      </w:r>
      <w:r>
        <w:rPr>
          <w:rFonts w:ascii="宋体" w:hAnsi="宋体" w:eastAsia="宋体" w:cs="宋体"/>
          <w:sz w:val="28"/>
          <w:szCs w:val="28"/>
        </w:rPr>
        <w:t>/h</w:t>
      </w:r>
      <w:r>
        <w:rPr>
          <w:rFonts w:hint="eastAsia" w:ascii="宋体" w:hAnsi="宋体" w:eastAsia="宋体" w:cs="宋体"/>
          <w:sz w:val="28"/>
          <w:szCs w:val="28"/>
        </w:rPr>
        <w:t>。排烟系统负担的防烟分区范围的变化造成原排烟系统风量不能满足更改后的要求。设计违规，如下图：</w:t>
      </w:r>
    </w:p>
    <w:p w14:paraId="7BC88738">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2361565" cy="2992120"/>
            <wp:effectExtent l="0" t="0" r="635" b="0"/>
            <wp:docPr id="53181570" name="图片 5318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81570" name="图片 531815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373105" cy="3006611"/>
                    </a:xfrm>
                    <a:prstGeom prst="rect">
                      <a:avLst/>
                    </a:prstGeom>
                    <a:noFill/>
                    <a:ln>
                      <a:noFill/>
                    </a:ln>
                  </pic:spPr>
                </pic:pic>
              </a:graphicData>
            </a:graphic>
          </wp:inline>
        </w:drawing>
      </w:r>
    </w:p>
    <w:p w14:paraId="56F867FA">
      <w:pPr>
        <w:ind w:firstLine="560" w:firstLineChars="200"/>
        <w:rPr>
          <w:rFonts w:hint="eastAsia" w:ascii="宋体" w:hAnsi="宋体" w:eastAsia="宋体" w:cstheme="minorEastAsia"/>
          <w:sz w:val="28"/>
          <w:szCs w:val="28"/>
        </w:rPr>
      </w:pPr>
    </w:p>
    <w:p w14:paraId="12B9CCB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w:t>
      </w:r>
      <w:r>
        <w:rPr>
          <w:rFonts w:ascii="宋体" w:hAnsi="宋体" w:eastAsia="宋体" w:cstheme="minorEastAsia"/>
          <w:sz w:val="28"/>
          <w:szCs w:val="28"/>
        </w:rPr>
        <w:t>4</w:t>
      </w:r>
      <w:r>
        <w:rPr>
          <w:rFonts w:hint="eastAsia" w:ascii="宋体" w:hAnsi="宋体" w:eastAsia="宋体" w:cstheme="minorEastAsia"/>
          <w:sz w:val="28"/>
          <w:szCs w:val="28"/>
        </w:rPr>
        <w:t xml:space="preserve"> 建筑面积大于50㎡，经常有人停留或可燃物较多且无可开启外窗的房间未设排烟设施。</w:t>
      </w:r>
    </w:p>
    <w:p w14:paraId="7CF0769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 第8.2.5条：“建筑中下列经常有人停留或可燃物较多且无可开启外窗的房间或区域应设置排烟设施：</w:t>
      </w:r>
    </w:p>
    <w:p w14:paraId="3001F8A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1 建筑面积大于50㎡的房间；</w:t>
      </w:r>
    </w:p>
    <w:p w14:paraId="56AC5C3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2 房间的建筑面积不大于50㎡，总建筑面积大于200㎡的区域。”</w:t>
      </w:r>
    </w:p>
    <w:p w14:paraId="2D5A32A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《建筑防烟排烟系统技术标准》GB 51251-2017第4.4.12条第3款：“对于需要设置机械排烟系统的房间，当其建筑面积小于50㎡时，可通过走道排烟，排烟口可设置在疏散走道；排烟量应按本标准第4.6.3条第3款计算。”</w:t>
      </w:r>
    </w:p>
    <w:p w14:paraId="7856CD0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案例：某项目的丙类储藏室房间，面积大于50㎡且无可开启外窗，未设置机械排烟措施。设计违规，如下图：</w:t>
      </w:r>
    </w:p>
    <w:p w14:paraId="35041F2B">
      <w:pPr>
        <w:widowControl/>
        <w:ind w:firstLine="480" w:firstLineChars="200"/>
        <w:jc w:val="center"/>
        <w:rPr>
          <w:rFonts w:hint="eastAsia" w:ascii="宋体" w:hAnsi="宋体" w:eastAsia="宋体" w:cstheme="minorEastAsia"/>
          <w:sz w:val="28"/>
          <w:szCs w:val="28"/>
        </w:rPr>
      </w:pPr>
      <w:r>
        <w:rPr>
          <w:rFonts w:ascii="宋体" w:hAnsi="宋体" w:eastAsia="宋体" w:cs="宋体"/>
          <w:kern w:val="0"/>
          <w:sz w:val="24"/>
          <w:szCs w:val="24"/>
        </w:rPr>
        <w:drawing>
          <wp:inline distT="0" distB="0" distL="114300" distR="114300">
            <wp:extent cx="2297430" cy="2211070"/>
            <wp:effectExtent l="0" t="0" r="7620" b="0"/>
            <wp:docPr id="134748276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82766" name="图片 1" descr="IMG_256"/>
                    <pic:cNvPicPr>
                      <a:picLocks noChangeAspect="1"/>
                    </pic:cNvPicPr>
                  </pic:nvPicPr>
                  <pic:blipFill>
                    <a:blip r:embed="rId111"/>
                    <a:stretch>
                      <a:fillRect/>
                    </a:stretch>
                  </pic:blipFill>
                  <pic:spPr>
                    <a:xfrm>
                      <a:off x="0" y="0"/>
                      <a:ext cx="2303567" cy="2217479"/>
                    </a:xfrm>
                    <a:prstGeom prst="rect">
                      <a:avLst/>
                    </a:prstGeom>
                    <a:noFill/>
                    <a:ln w="9525">
                      <a:noFill/>
                    </a:ln>
                  </pic:spPr>
                </pic:pic>
              </a:graphicData>
            </a:graphic>
          </wp:inline>
        </w:drawing>
      </w:r>
    </w:p>
    <w:p w14:paraId="7A2C934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w:t>
      </w:r>
      <w:r>
        <w:rPr>
          <w:rFonts w:ascii="宋体" w:hAnsi="宋体" w:eastAsia="宋体" w:cstheme="minorEastAsia"/>
          <w:sz w:val="28"/>
          <w:szCs w:val="28"/>
        </w:rPr>
        <w:t>5</w:t>
      </w:r>
      <w:r>
        <w:rPr>
          <w:rFonts w:hint="eastAsia" w:ascii="宋体" w:hAnsi="宋体" w:eastAsia="宋体" w:cstheme="minorEastAsia"/>
          <w:sz w:val="28"/>
          <w:szCs w:val="28"/>
        </w:rPr>
        <w:t>机械排烟口与附近安全出口相邻边缘之间的水平距离小于1.5m。</w:t>
      </w:r>
    </w:p>
    <w:p w14:paraId="1B1A0E44">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 51251-2017第4.4.12条第5款：“排烟口的设置宜使烟流方向与人员疏散方向相反，排烟口与附近安全出口相邻边缘之间的水平距离不应小于1.5m。”</w:t>
      </w:r>
    </w:p>
    <w:p w14:paraId="51A1FEAC">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案例：某厂房疏散走道采用机械排烟，排烟口距离封闭楼梯间安全出口水平距离小于1.5m。设计违规，如下图：</w:t>
      </w:r>
    </w:p>
    <w:p w14:paraId="4EB4009F">
      <w:pPr>
        <w:widowControl/>
        <w:ind w:firstLine="480" w:firstLineChars="200"/>
        <w:jc w:val="center"/>
        <w:rPr>
          <w:rFonts w:hint="eastAsia" w:ascii="宋体" w:hAnsi="宋体" w:eastAsia="宋体"/>
        </w:rPr>
      </w:pPr>
      <w:r>
        <w:rPr>
          <w:rFonts w:ascii="宋体" w:hAnsi="宋体" w:eastAsia="宋体" w:cs="宋体"/>
          <w:kern w:val="0"/>
          <w:sz w:val="24"/>
          <w:szCs w:val="24"/>
        </w:rPr>
        <w:drawing>
          <wp:inline distT="0" distB="0" distL="114300" distR="114300">
            <wp:extent cx="2936875" cy="1997075"/>
            <wp:effectExtent l="0" t="0" r="0" b="3175"/>
            <wp:docPr id="191948747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487475" name="图片 3" descr="IMG_256"/>
                    <pic:cNvPicPr>
                      <a:picLocks noChangeAspect="1"/>
                    </pic:cNvPicPr>
                  </pic:nvPicPr>
                  <pic:blipFill>
                    <a:blip r:embed="rId112"/>
                    <a:stretch>
                      <a:fillRect/>
                    </a:stretch>
                  </pic:blipFill>
                  <pic:spPr>
                    <a:xfrm>
                      <a:off x="0" y="0"/>
                      <a:ext cx="2943168" cy="2001721"/>
                    </a:xfrm>
                    <a:prstGeom prst="rect">
                      <a:avLst/>
                    </a:prstGeom>
                    <a:noFill/>
                    <a:ln w="9525">
                      <a:noFill/>
                    </a:ln>
                  </pic:spPr>
                </pic:pic>
              </a:graphicData>
            </a:graphic>
          </wp:inline>
        </w:drawing>
      </w:r>
    </w:p>
    <w:p w14:paraId="6A88C26E">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5.0.16 因装饰吊顶遮挡、外立面调整，导致外窗有效的可开启面积减少，或现场实际开窗面积与图纸不符，储烟仓内有效排烟窗口面积不足地面积的2%。</w:t>
      </w:r>
    </w:p>
    <w:p w14:paraId="1B97DAA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依据：《建筑防烟排烟系统技术标准》GB 51251-2017第4.6.3条第1款：“ 除中庭外下列场所一个防烟分区的排烟量计算应符合下列规定：</w:t>
      </w:r>
      <w:r>
        <w:rPr>
          <w:rFonts w:hint="eastAsia" w:ascii="宋体" w:hAnsi="宋体" w:eastAsia="宋体" w:cstheme="minorEastAsia"/>
          <w:sz w:val="28"/>
          <w:szCs w:val="28"/>
        </w:rPr>
        <w:br w:type="textWrapping"/>
      </w:r>
      <w:r>
        <w:rPr>
          <w:rFonts w:hint="eastAsia" w:ascii="宋体" w:hAnsi="宋体" w:eastAsia="宋体" w:cstheme="minorEastAsia"/>
          <w:sz w:val="28"/>
          <w:szCs w:val="28"/>
        </w:rPr>
        <w:t>   1 建筑空间净高小于或等于6m的场所，其排烟量应按不小于60m³/（h·㎡）计算，且取值不小于15000m³/h，或设置有效面积不小于该房间建筑面积2%的自然排烟窗（口）。”</w:t>
      </w:r>
    </w:p>
    <w:p w14:paraId="2BAC8A65">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自然排烟窗位于储烟仓高度内的开窗面积才能计算为自然排烟有效面积。有效面积按《建筑防烟排烟系统技术标准》GB 51251-2017第4.3.5条进行计算。</w:t>
      </w:r>
    </w:p>
    <w:p w14:paraId="154607FB">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建议装饰设计采用自然排烟时补充自然排烟外窗大样图。</w:t>
      </w:r>
    </w:p>
    <w:p w14:paraId="3AACE00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案例：某办公室采用自然排烟，防烟分区信息中注明每个外窗储烟仓内有效开启面积为0.5m</w:t>
      </w:r>
      <w:r>
        <w:rPr>
          <w:rFonts w:ascii="宋体" w:hAnsi="宋体" w:eastAsia="宋体" w:cstheme="minorEastAsia"/>
          <w:sz w:val="28"/>
          <w:szCs w:val="28"/>
          <w:vertAlign w:val="superscript"/>
        </w:rPr>
        <w:t>2</w:t>
      </w:r>
      <w:r>
        <w:rPr>
          <w:rFonts w:hint="eastAsia" w:ascii="宋体" w:hAnsi="宋体" w:eastAsia="宋体" w:cstheme="minorEastAsia"/>
          <w:sz w:val="28"/>
          <w:szCs w:val="28"/>
        </w:rPr>
        <w:t>，经复核原始资料中提供的外窗大样图，储烟仓内实际开启有效面积与防排烟图中标注的有效面积不符，该房间不满足自然排烟开窗面积要求。设计违规，如下图：</w:t>
      </w:r>
    </w:p>
    <w:p w14:paraId="151A6C92">
      <w:pPr>
        <w:widowControl/>
        <w:jc w:val="center"/>
        <w:rPr>
          <w:rFonts w:hint="eastAsia" w:ascii="宋体" w:hAnsi="宋体" w:eastAsia="宋体"/>
        </w:rPr>
      </w:pPr>
      <w:r>
        <w:rPr>
          <w:rFonts w:ascii="宋体" w:hAnsi="宋体" w:eastAsia="宋体" w:cs="宋体"/>
          <w:kern w:val="0"/>
          <w:sz w:val="24"/>
          <w:szCs w:val="24"/>
        </w:rPr>
        <w:drawing>
          <wp:inline distT="0" distB="0" distL="114300" distR="114300">
            <wp:extent cx="4953000" cy="1978025"/>
            <wp:effectExtent l="0" t="0" r="0" b="3175"/>
            <wp:docPr id="168141500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15000" name="图片 5" descr="IMG_256"/>
                    <pic:cNvPicPr>
                      <a:picLocks noChangeAspect="1"/>
                    </pic:cNvPicPr>
                  </pic:nvPicPr>
                  <pic:blipFill>
                    <a:blip r:embed="rId113"/>
                    <a:stretch>
                      <a:fillRect/>
                    </a:stretch>
                  </pic:blipFill>
                  <pic:spPr>
                    <a:xfrm>
                      <a:off x="0" y="0"/>
                      <a:ext cx="4959162" cy="1980500"/>
                    </a:xfrm>
                    <a:prstGeom prst="rect">
                      <a:avLst/>
                    </a:prstGeom>
                    <a:noFill/>
                    <a:ln w="9525">
                      <a:noFill/>
                    </a:ln>
                  </pic:spPr>
                </pic:pic>
              </a:graphicData>
            </a:graphic>
          </wp:inline>
        </w:drawing>
      </w:r>
    </w:p>
    <w:p w14:paraId="31C3C73A">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114300" distR="114300">
            <wp:extent cx="2141855" cy="2124075"/>
            <wp:effectExtent l="0" t="0" r="0" b="0"/>
            <wp:docPr id="307048504"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48504" name="图片 8" descr="IMG_256"/>
                    <pic:cNvPicPr>
                      <a:picLocks noChangeAspect="1"/>
                    </pic:cNvPicPr>
                  </pic:nvPicPr>
                  <pic:blipFill>
                    <a:blip r:embed="rId114"/>
                    <a:stretch>
                      <a:fillRect/>
                    </a:stretch>
                  </pic:blipFill>
                  <pic:spPr>
                    <a:xfrm>
                      <a:off x="0" y="0"/>
                      <a:ext cx="2147733" cy="2129391"/>
                    </a:xfrm>
                    <a:prstGeom prst="rect">
                      <a:avLst/>
                    </a:prstGeom>
                    <a:noFill/>
                    <a:ln w="9525">
                      <a:noFill/>
                    </a:ln>
                  </pic:spPr>
                </pic:pic>
              </a:graphicData>
            </a:graphic>
          </wp:inline>
        </w:drawing>
      </w:r>
    </w:p>
    <w:p w14:paraId="3EBEB9A9">
      <w:pPr>
        <w:widowControl/>
        <w:ind w:firstLine="480" w:firstLineChars="200"/>
        <w:jc w:val="center"/>
        <w:rPr>
          <w:rFonts w:hint="eastAsia" w:ascii="宋体" w:hAnsi="宋体" w:eastAsia="宋体" w:cs="宋体"/>
          <w:kern w:val="0"/>
          <w:sz w:val="24"/>
          <w:szCs w:val="24"/>
        </w:rPr>
      </w:pPr>
    </w:p>
    <w:p w14:paraId="35E56E13">
      <w:pPr>
        <w:ind w:firstLine="560" w:firstLineChars="200"/>
        <w:rPr>
          <w:rFonts w:hint="eastAsia" w:ascii="宋体" w:hAnsi="宋体" w:eastAsia="宋体" w:cs="宋体"/>
          <w:sz w:val="28"/>
          <w:szCs w:val="28"/>
        </w:rPr>
      </w:pPr>
      <w:r>
        <w:rPr>
          <w:rFonts w:hint="eastAsia" w:ascii="宋体" w:hAnsi="宋体" w:eastAsia="宋体" w:cs="宋体"/>
          <w:sz w:val="28"/>
          <w:szCs w:val="28"/>
        </w:rPr>
        <w:t>5.0.17 公共建筑内走道或回廊的排烟，执行《建筑防烟排烟系统技术标准》GB 51251-2017第4.6.3条时，适用条款错误。</w:t>
      </w:r>
    </w:p>
    <w:p w14:paraId="3DBC9509">
      <w:pPr>
        <w:ind w:firstLine="560" w:firstLineChars="200"/>
        <w:rPr>
          <w:rFonts w:hint="eastAsia" w:ascii="宋体" w:hAnsi="宋体" w:eastAsia="宋体" w:cs="宋体"/>
          <w:sz w:val="28"/>
          <w:szCs w:val="28"/>
        </w:rPr>
      </w:pPr>
      <w:r>
        <w:rPr>
          <w:rFonts w:hint="eastAsia" w:ascii="宋体" w:hAnsi="宋体" w:eastAsia="宋体" w:cs="宋体"/>
          <w:sz w:val="28"/>
          <w:szCs w:val="28"/>
        </w:rPr>
        <w:t>依据：《建筑防烟排烟系统技术标准》GB 51251-2017第4.6.3条第3款、第4款；《建设工程消防设计常见错误（2024年3月版）》（渝建消防〔2024〕7号）第5.0.6条。</w:t>
      </w:r>
    </w:p>
    <w:p w14:paraId="06AE54B6">
      <w:pPr>
        <w:ind w:firstLine="560" w:firstLineChars="200"/>
        <w:rPr>
          <w:rFonts w:hint="eastAsia" w:ascii="宋体" w:hAnsi="宋体" w:eastAsia="宋体" w:cs="宋体"/>
          <w:sz w:val="28"/>
          <w:szCs w:val="28"/>
        </w:rPr>
      </w:pPr>
      <w:r>
        <w:rPr>
          <w:rFonts w:hint="eastAsia" w:ascii="宋体" w:hAnsi="宋体" w:eastAsia="宋体" w:cs="宋体"/>
          <w:sz w:val="28"/>
          <w:szCs w:val="28"/>
        </w:rPr>
        <w:t>公共建筑的走道或回廊，如与其相连通的房间（卫生间、配电间、管井等除外）均设有自然排烟设施或设有机械排烟系统时，走道或回廊的排烟设计按《建筑防烟排烟系统技术标准》GB 51251-2017第4.6.3条第4款执行；其余情况按4.6.3条第3款执行。</w:t>
      </w:r>
    </w:p>
    <w:p w14:paraId="68F486CF">
      <w:pPr>
        <w:ind w:firstLine="560" w:firstLineChars="200"/>
        <w:rPr>
          <w:rFonts w:hint="eastAsia" w:ascii="宋体" w:hAnsi="宋体" w:eastAsia="宋体" w:cs="宋体"/>
          <w:sz w:val="28"/>
          <w:szCs w:val="28"/>
        </w:rPr>
      </w:pPr>
      <w:r>
        <w:rPr>
          <w:rFonts w:hint="eastAsia" w:ascii="宋体" w:hAnsi="宋体" w:eastAsia="宋体" w:cs="宋体"/>
          <w:sz w:val="28"/>
          <w:szCs w:val="28"/>
        </w:rPr>
        <w:t>除相关规范有特殊规定外，工业建筑、住宅建筑的走道排烟可参照公共建筑的要求执行。</w:t>
      </w:r>
    </w:p>
    <w:p w14:paraId="07E491FD">
      <w:pPr>
        <w:ind w:firstLine="560" w:firstLineChars="200"/>
        <w:rPr>
          <w:rFonts w:hint="eastAsia" w:ascii="宋体" w:hAnsi="宋体" w:eastAsia="宋体" w:cs="宋体"/>
          <w:sz w:val="28"/>
          <w:szCs w:val="28"/>
        </w:rPr>
      </w:pPr>
      <w:r>
        <w:rPr>
          <w:rFonts w:hint="eastAsia" w:ascii="宋体" w:hAnsi="宋体" w:eastAsia="宋体" w:cs="宋体"/>
          <w:sz w:val="28"/>
          <w:szCs w:val="28"/>
        </w:rPr>
        <w:t>5.0.18 正压送风、排烟及补风系统风管尺寸规格偏小，根据计算风量校核，存在金属风管风速超过20m/s的情况。</w:t>
      </w:r>
    </w:p>
    <w:p w14:paraId="66C141C4">
      <w:pPr>
        <w:ind w:firstLine="560" w:firstLineChars="200"/>
        <w:rPr>
          <w:rFonts w:hint="eastAsia" w:ascii="宋体" w:hAnsi="宋体" w:eastAsia="宋体" w:cs="宋体"/>
          <w:sz w:val="28"/>
          <w:szCs w:val="28"/>
        </w:rPr>
      </w:pPr>
      <w:r>
        <w:rPr>
          <w:rFonts w:hint="eastAsia" w:ascii="宋体" w:hAnsi="宋体" w:eastAsia="宋体" w:cs="宋体"/>
          <w:sz w:val="28"/>
          <w:szCs w:val="28"/>
        </w:rPr>
        <w:t>依据：《建筑防烟排烟系统技术标准》GB 51251-2017第4.4.7条：“当排烟管道内壁为金属时，管道设计风速不应大于20m/s；当排烟管道内壁为非金属时，管道设计风速不应大于15m/s；排烟管道的厚度应按现行国家标准《通风与空调工程施工质量验收规范》GB 50243的有关规定执行。”</w:t>
      </w:r>
    </w:p>
    <w:p w14:paraId="1F04F883">
      <w:pPr>
        <w:ind w:firstLine="560" w:firstLineChars="200"/>
        <w:rPr>
          <w:rFonts w:hint="eastAsia" w:ascii="宋体" w:hAnsi="宋体" w:eastAsia="宋体" w:cs="宋体"/>
          <w:sz w:val="28"/>
          <w:szCs w:val="28"/>
        </w:rPr>
      </w:pPr>
      <w:r>
        <w:rPr>
          <w:rFonts w:hint="eastAsia" w:ascii="宋体" w:hAnsi="宋体" w:eastAsia="宋体" w:cs="宋体"/>
          <w:sz w:val="28"/>
          <w:szCs w:val="28"/>
        </w:rPr>
        <w:t>案例：某项目风机计算排烟量30000m</w:t>
      </w:r>
      <w:r>
        <w:rPr>
          <w:rFonts w:hint="eastAsia" w:ascii="宋体" w:hAnsi="宋体" w:eastAsia="宋体" w:cs="宋体"/>
          <w:sz w:val="28"/>
          <w:szCs w:val="28"/>
          <w:vertAlign w:val="superscript"/>
        </w:rPr>
        <w:t>3</w:t>
      </w:r>
      <w:r>
        <w:rPr>
          <w:rFonts w:hint="eastAsia" w:ascii="宋体" w:hAnsi="宋体" w:eastAsia="宋体" w:cs="宋体"/>
          <w:sz w:val="28"/>
          <w:szCs w:val="28"/>
        </w:rPr>
        <w:t>/h，排烟风机所接金属排烟干管规格为1000*400，经校核计算风速为20.8m/s，超过了规范限值2</w:t>
      </w:r>
      <w:r>
        <w:rPr>
          <w:rFonts w:ascii="宋体" w:hAnsi="宋体" w:eastAsia="宋体" w:cs="宋体"/>
          <w:sz w:val="28"/>
          <w:szCs w:val="28"/>
        </w:rPr>
        <w:t>0m/s</w:t>
      </w:r>
      <w:r>
        <w:rPr>
          <w:rFonts w:hint="eastAsia" w:ascii="宋体" w:hAnsi="宋体" w:eastAsia="宋体" w:cs="宋体"/>
          <w:sz w:val="28"/>
          <w:szCs w:val="28"/>
        </w:rPr>
        <w:t>要求。</w:t>
      </w:r>
    </w:p>
    <w:p w14:paraId="1CBE7A2E">
      <w:pPr>
        <w:ind w:firstLine="560" w:firstLineChars="200"/>
        <w:rPr>
          <w:rFonts w:hint="eastAsia" w:ascii="宋体" w:hAnsi="宋体" w:eastAsia="宋体" w:cs="宋体"/>
          <w:sz w:val="28"/>
          <w:szCs w:val="28"/>
        </w:rPr>
      </w:pPr>
      <w:r>
        <w:rPr>
          <w:rFonts w:hint="eastAsia" w:ascii="宋体" w:hAnsi="宋体" w:eastAsia="宋体" w:cs="宋体"/>
          <w:sz w:val="28"/>
          <w:szCs w:val="28"/>
        </w:rPr>
        <w:t>5.0.19 机械排烟系统排烟口的设计排烟量超过最大允许排烟量。</w:t>
      </w:r>
    </w:p>
    <w:p w14:paraId="52620037">
      <w:pPr>
        <w:overflowPunct w:val="0"/>
        <w:ind w:firstLine="560" w:firstLineChars="200"/>
        <w:rPr>
          <w:rFonts w:hint="eastAsia" w:ascii="宋体" w:hAnsi="宋体" w:eastAsia="宋体" w:cs="宋体"/>
          <w:sz w:val="28"/>
          <w:szCs w:val="28"/>
        </w:rPr>
      </w:pPr>
      <w:r>
        <w:rPr>
          <w:rFonts w:hint="eastAsia" w:ascii="宋体" w:hAnsi="宋体" w:eastAsia="宋体" w:cs="宋体"/>
          <w:sz w:val="28"/>
          <w:szCs w:val="28"/>
        </w:rPr>
        <w:t>依据：《建筑防烟排烟系统技术标准》GB 51251-2017第4.4.12条：“排烟口的设置应按本标准第4.6.3条经计算确定……排烟口的设置尚应符合下列规定：</w:t>
      </w:r>
    </w:p>
    <w:p w14:paraId="14AF1F17">
      <w:pPr>
        <w:overflowPunct w:val="0"/>
        <w:ind w:firstLine="560" w:firstLineChars="200"/>
        <w:rPr>
          <w:rFonts w:hint="eastAsia" w:ascii="宋体" w:hAnsi="宋体" w:eastAsia="宋体" w:cs="宋体"/>
          <w:sz w:val="28"/>
          <w:szCs w:val="28"/>
        </w:rPr>
      </w:pPr>
      <w:r>
        <w:rPr>
          <w:rFonts w:hint="eastAsia" w:ascii="宋体" w:hAnsi="宋体" w:eastAsia="宋体" w:cs="宋体"/>
          <w:sz w:val="28"/>
          <w:szCs w:val="28"/>
        </w:rPr>
        <w:t>6 每个排烟口的排烟量不应大于最大允许排烟量，最大允许排烟量应按本标准第4.6.14条的规定计算确定。”</w:t>
      </w:r>
    </w:p>
    <w:p w14:paraId="1D48786B">
      <w:pPr>
        <w:overflowPunct w:val="0"/>
        <w:ind w:firstLine="560" w:firstLineChars="200"/>
        <w:rPr>
          <w:rFonts w:hint="eastAsia" w:ascii="宋体" w:hAnsi="宋体" w:eastAsia="宋体" w:cs="宋体"/>
          <w:sz w:val="28"/>
          <w:szCs w:val="28"/>
        </w:rPr>
      </w:pPr>
      <w:r>
        <w:rPr>
          <w:rFonts w:hint="eastAsia" w:ascii="宋体" w:hAnsi="宋体" w:eastAsia="宋体" w:cs="宋体"/>
          <w:sz w:val="28"/>
          <w:szCs w:val="28"/>
        </w:rPr>
        <w:t>《建设工程消防设计常见错误（2024年3月版）》（渝建消防〔2024〕7号）第5.0.12条：走道、室内空间净高不大于3m的区域，计算排烟口的最大允许排烟量时，储烟仓厚度可按1/2净高计算；也可按GB 51251-2017第 4.4.12 条第 7 款规定的最大风速计算。</w:t>
      </w:r>
    </w:p>
    <w:p w14:paraId="00406A28">
      <w:pPr>
        <w:ind w:firstLine="560" w:firstLineChars="200"/>
        <w:rPr>
          <w:rFonts w:hint="eastAsia" w:ascii="宋体" w:hAnsi="宋体" w:eastAsia="宋体" w:cs="宋体"/>
          <w:sz w:val="28"/>
          <w:szCs w:val="28"/>
        </w:rPr>
      </w:pPr>
      <w:r>
        <w:rPr>
          <w:rFonts w:hint="eastAsia" w:ascii="宋体" w:hAnsi="宋体" w:eastAsia="宋体" w:cs="宋体"/>
          <w:sz w:val="28"/>
          <w:szCs w:val="28"/>
        </w:rPr>
        <w:t>案例：某项目原房间为裸顶，房间净高4.4米，风口距地高度3.5米。装修设计将裸顶调整为了距地3.2米的密闭石膏吊顶，排烟风口调整为在吊顶开设排烟风口，调整净高及防烟分区设计参数后排烟风口的最大允许排烟量小于了排烟风口设计排烟量，不满足规范要求，应调整设计参数或增加排烟风口数量。</w:t>
      </w:r>
    </w:p>
    <w:p w14:paraId="4235265F">
      <w:pPr>
        <w:ind w:firstLine="560" w:firstLineChars="200"/>
        <w:rPr>
          <w:rFonts w:hint="eastAsia" w:ascii="宋体" w:hAnsi="宋体" w:eastAsia="宋体" w:cs="宋体"/>
          <w:sz w:val="28"/>
          <w:szCs w:val="28"/>
        </w:rPr>
      </w:pPr>
      <w:r>
        <w:rPr>
          <w:rFonts w:hint="eastAsia" w:ascii="宋体" w:hAnsi="宋体" w:eastAsia="宋体" w:cs="宋体"/>
          <w:sz w:val="28"/>
          <w:szCs w:val="28"/>
        </w:rPr>
        <w:t>5.0.20 装饰设计中排烟风管或排除易燃易爆气体风管穿越合用前室或消防电梯前室。</w:t>
      </w:r>
    </w:p>
    <w:p w14:paraId="0C0DD9F1">
      <w:pPr>
        <w:ind w:firstLine="560" w:firstLineChars="200"/>
        <w:rPr>
          <w:rFonts w:hint="eastAsia" w:ascii="宋体" w:hAnsi="宋体" w:eastAsia="宋体" w:cs="宋体"/>
          <w:sz w:val="28"/>
          <w:szCs w:val="28"/>
        </w:rPr>
      </w:pPr>
      <w:r>
        <w:rPr>
          <w:rFonts w:hint="eastAsia" w:ascii="宋体" w:hAnsi="宋体" w:eastAsia="宋体" w:cs="宋体"/>
          <w:sz w:val="28"/>
          <w:szCs w:val="28"/>
        </w:rPr>
        <w:t>依据：</w:t>
      </w:r>
      <w:r>
        <w:rPr>
          <w:rFonts w:hint="eastAsia" w:ascii="宋体" w:hAnsi="宋体" w:eastAsia="宋体" w:cstheme="minorEastAsia"/>
          <w:sz w:val="28"/>
          <w:szCs w:val="28"/>
        </w:rPr>
        <w:t>《</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 xml:space="preserve">》GB 55037-2022 </w:t>
      </w:r>
      <w:r>
        <w:rPr>
          <w:rFonts w:hint="eastAsia" w:ascii="宋体" w:hAnsi="宋体" w:eastAsia="宋体" w:cs="宋体"/>
          <w:sz w:val="28"/>
          <w:szCs w:val="28"/>
        </w:rPr>
        <w:t>第7.1.8条第5款：“除疏散楼梯间及其前室的出入口、外窗和送风口，住宅建筑疏散楼梯间前室或合用前室内的管道井检查门外，疏散楼梯间及其前室或合用前室内的墙上不应设置其他门、窗等开口。”</w:t>
      </w:r>
    </w:p>
    <w:p w14:paraId="0A6EA2BC">
      <w:pPr>
        <w:ind w:firstLine="560" w:firstLineChars="200"/>
        <w:rPr>
          <w:rFonts w:hint="eastAsia" w:ascii="宋体" w:hAnsi="宋体" w:eastAsia="宋体" w:cs="宋体"/>
          <w:sz w:val="28"/>
          <w:szCs w:val="28"/>
        </w:rPr>
      </w:pPr>
      <w:r>
        <w:rPr>
          <w:rFonts w:hint="eastAsia" w:ascii="宋体" w:hAnsi="宋体" w:eastAsia="宋体" w:cs="宋体"/>
          <w:sz w:val="28"/>
          <w:szCs w:val="28"/>
        </w:rPr>
        <w:t>案例：某项目装饰设计时重新调整了平面布局，调整后的排烟管道穿越了原土建防烟楼梯间前室。设计违规，如下图：</w:t>
      </w:r>
    </w:p>
    <w:p w14:paraId="5165B1E8">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2630805" cy="2000250"/>
            <wp:effectExtent l="0" t="0" r="0" b="0"/>
            <wp:docPr id="165934059" name="图片 16593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34059" name="图片 16593405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2661781" cy="2023610"/>
                    </a:xfrm>
                    <a:prstGeom prst="rect">
                      <a:avLst/>
                    </a:prstGeom>
                    <a:noFill/>
                    <a:ln>
                      <a:noFill/>
                    </a:ln>
                  </pic:spPr>
                </pic:pic>
              </a:graphicData>
            </a:graphic>
          </wp:inline>
        </w:drawing>
      </w:r>
    </w:p>
    <w:p w14:paraId="16B328D1">
      <w:pPr>
        <w:ind w:firstLine="560" w:firstLineChars="200"/>
        <w:rPr>
          <w:rFonts w:hint="eastAsia" w:ascii="宋体" w:hAnsi="宋体" w:eastAsia="宋体" w:cs="宋体"/>
          <w:sz w:val="28"/>
          <w:szCs w:val="28"/>
        </w:rPr>
      </w:pPr>
      <w:r>
        <w:rPr>
          <w:rFonts w:hint="eastAsia" w:ascii="宋体" w:hAnsi="宋体" w:eastAsia="宋体" w:cs="宋体"/>
          <w:sz w:val="28"/>
          <w:szCs w:val="28"/>
        </w:rPr>
        <w:t>5.0.21 风机直通大气的进、出风口未注明设置防护网或采取其它安全防护措施，风机室外进、出风口未注明设置防雨措施。</w:t>
      </w:r>
    </w:p>
    <w:p w14:paraId="7231A72D">
      <w:pPr>
        <w:ind w:firstLine="560" w:firstLineChars="200"/>
        <w:rPr>
          <w:rFonts w:hint="eastAsia" w:ascii="宋体" w:hAnsi="宋体" w:eastAsia="宋体" w:cs="宋体"/>
          <w:sz w:val="28"/>
          <w:szCs w:val="28"/>
        </w:rPr>
      </w:pPr>
      <w:r>
        <w:rPr>
          <w:rFonts w:hint="eastAsia" w:ascii="宋体" w:hAnsi="宋体" w:eastAsia="宋体" w:cs="宋体"/>
          <w:sz w:val="28"/>
          <w:szCs w:val="28"/>
        </w:rPr>
        <w:t>依据：《建筑防烟排烟系统技术标准》GB51251-2017第</w:t>
      </w:r>
      <w:r>
        <w:rPr>
          <w:rFonts w:ascii="宋体" w:hAnsi="宋体" w:eastAsia="宋体" w:cs="宋体"/>
          <w:sz w:val="28"/>
          <w:szCs w:val="28"/>
        </w:rPr>
        <w:t>6</w:t>
      </w:r>
      <w:r>
        <w:rPr>
          <w:rFonts w:hint="eastAsia" w:ascii="宋体" w:hAnsi="宋体" w:eastAsia="宋体" w:cs="宋体"/>
          <w:sz w:val="28"/>
          <w:szCs w:val="28"/>
        </w:rPr>
        <w:t>.</w:t>
      </w:r>
      <w:r>
        <w:rPr>
          <w:rFonts w:ascii="宋体" w:hAnsi="宋体" w:eastAsia="宋体" w:cs="宋体"/>
          <w:sz w:val="28"/>
          <w:szCs w:val="28"/>
        </w:rPr>
        <w:t>6</w:t>
      </w:r>
      <w:r>
        <w:rPr>
          <w:rFonts w:hint="eastAsia" w:ascii="宋体" w:hAnsi="宋体" w:eastAsia="宋体" w:cs="宋体"/>
          <w:sz w:val="28"/>
          <w:szCs w:val="28"/>
        </w:rPr>
        <w:t>.5条：“风机驱动装置的外露部位应装设防护罩；直通大气的进、出风口应装设防护网或采取其他安全设施，并应设防雨措施。”</w:t>
      </w:r>
    </w:p>
    <w:p w14:paraId="75E74D99">
      <w:pPr>
        <w:ind w:firstLine="560" w:firstLineChars="200"/>
        <w:rPr>
          <w:rFonts w:hint="eastAsia" w:ascii="宋体" w:hAnsi="宋体" w:eastAsia="宋体" w:cs="宋体"/>
          <w:sz w:val="28"/>
          <w:szCs w:val="28"/>
        </w:rPr>
      </w:pPr>
      <w:r>
        <w:rPr>
          <w:rFonts w:hint="eastAsia" w:ascii="宋体" w:hAnsi="宋体" w:eastAsia="宋体" w:cs="宋体"/>
          <w:sz w:val="28"/>
          <w:szCs w:val="28"/>
        </w:rPr>
        <w:t>《</w:t>
      </w:r>
      <w:r>
        <w:fldChar w:fldCharType="begin"/>
      </w:r>
      <w:r>
        <w:instrText xml:space="preserve"> HYPERLINK "https://gf.cabr-fire.com/list-984.htm" </w:instrText>
      </w:r>
      <w:r>
        <w:fldChar w:fldCharType="separate"/>
      </w:r>
      <w:r>
        <w:rPr>
          <w:rFonts w:hint="eastAsia" w:ascii="宋体" w:hAnsi="宋体" w:eastAsia="宋体" w:cs="宋体"/>
          <w:sz w:val="28"/>
          <w:szCs w:val="28"/>
        </w:rPr>
        <w:t>通风与空调工程施工质量验收规范</w:t>
      </w:r>
      <w:r>
        <w:rPr>
          <w:rFonts w:hint="eastAsia" w:ascii="宋体" w:hAnsi="宋体" w:eastAsia="宋体" w:cs="宋体"/>
          <w:sz w:val="28"/>
          <w:szCs w:val="28"/>
        </w:rPr>
        <w:fldChar w:fldCharType="end"/>
      </w:r>
      <w:r>
        <w:rPr>
          <w:rFonts w:hint="eastAsia" w:ascii="宋体" w:hAnsi="宋体" w:eastAsia="宋体" w:cs="宋体"/>
          <w:sz w:val="28"/>
          <w:szCs w:val="28"/>
        </w:rPr>
        <w:t>》GB50243-2016第7.2.2条：“通风机传动装置的外露部位以及直通大气的进、出风口，必须装设防护罩、防护网或采取其他安全防护措施”。</w:t>
      </w:r>
    </w:p>
    <w:p w14:paraId="4598E848">
      <w:pPr>
        <w:ind w:firstLine="560" w:firstLineChars="200"/>
        <w:rPr>
          <w:rFonts w:hint="eastAsia" w:ascii="宋体" w:hAnsi="宋体" w:eastAsia="宋体" w:cs="宋体"/>
          <w:sz w:val="28"/>
          <w:szCs w:val="28"/>
        </w:rPr>
      </w:pPr>
      <w:r>
        <w:rPr>
          <w:rFonts w:hint="eastAsia" w:ascii="宋体" w:hAnsi="宋体" w:eastAsia="宋体" w:cs="宋体"/>
          <w:sz w:val="28"/>
          <w:szCs w:val="28"/>
        </w:rPr>
        <w:t>案例：某公共建筑项目屋面根据装饰调整后的排烟风机出风口未注明设置金属防护网以及防雨百叶。设计违规，如下图：</w:t>
      </w:r>
    </w:p>
    <w:p w14:paraId="1613FC2F">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573145" cy="2160905"/>
            <wp:effectExtent l="0" t="0" r="8255" b="0"/>
            <wp:docPr id="1712501337" name="图片 171250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01337" name="图片 171250133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3602634" cy="2179146"/>
                    </a:xfrm>
                    <a:prstGeom prst="rect">
                      <a:avLst/>
                    </a:prstGeom>
                    <a:noFill/>
                    <a:ln>
                      <a:noFill/>
                    </a:ln>
                  </pic:spPr>
                </pic:pic>
              </a:graphicData>
            </a:graphic>
          </wp:inline>
        </w:drawing>
      </w:r>
    </w:p>
    <w:p w14:paraId="7A5E7378">
      <w:pPr>
        <w:ind w:firstLine="560" w:firstLineChars="200"/>
        <w:rPr>
          <w:rFonts w:hint="eastAsia" w:ascii="宋体" w:hAnsi="宋体" w:eastAsia="宋体" w:cs="宋体"/>
          <w:sz w:val="28"/>
          <w:szCs w:val="28"/>
        </w:rPr>
      </w:pPr>
      <w:r>
        <w:rPr>
          <w:rFonts w:hint="eastAsia" w:ascii="宋体" w:hAnsi="宋体" w:eastAsia="宋体" w:cs="宋体"/>
          <w:sz w:val="28"/>
          <w:szCs w:val="28"/>
        </w:rPr>
        <w:t>5.0.22 设置机械排烟设施的场所内，机械排烟风口与补风口水平距离小于5m。</w:t>
      </w:r>
    </w:p>
    <w:p w14:paraId="1480BB62">
      <w:pPr>
        <w:ind w:firstLine="560" w:firstLineChars="200"/>
        <w:rPr>
          <w:rFonts w:hint="eastAsia" w:ascii="宋体" w:hAnsi="宋体" w:eastAsia="宋体" w:cs="宋体"/>
          <w:sz w:val="28"/>
          <w:szCs w:val="28"/>
        </w:rPr>
      </w:pPr>
      <w:r>
        <w:rPr>
          <w:rFonts w:hint="eastAsia" w:ascii="宋体" w:hAnsi="宋体" w:eastAsia="宋体" w:cs="宋体"/>
          <w:sz w:val="28"/>
          <w:szCs w:val="28"/>
        </w:rPr>
        <w:t>依据：《建筑防烟排烟系统技术标准》GB51251-2017第4.5.4条：“补风口与排烟口设置在同一空间内相邻的防烟分区时，补风口位置不限；当补风口与排烟口设置在同一防烟分区时，补风口应设在储烟仓下沿以下；补风口与排烟口水平距离不应少于5m。”</w:t>
      </w:r>
    </w:p>
    <w:p w14:paraId="29A14A96">
      <w:pPr>
        <w:ind w:firstLine="560" w:firstLineChars="200"/>
        <w:rPr>
          <w:rFonts w:hint="eastAsia" w:ascii="宋体" w:hAnsi="宋体" w:eastAsia="宋体" w:cs="宋体"/>
          <w:sz w:val="28"/>
          <w:szCs w:val="28"/>
        </w:rPr>
      </w:pPr>
      <w:r>
        <w:rPr>
          <w:rFonts w:hint="eastAsia" w:ascii="宋体" w:hAnsi="宋体" w:eastAsia="宋体" w:cs="宋体"/>
          <w:sz w:val="28"/>
          <w:szCs w:val="28"/>
        </w:rPr>
        <w:t>排烟口与补风口水平距离不应少于5m是针对采用机械排烟系统时的要求。当采用自然排烟时，自然补风口与自然排烟口的水平距离可不限。</w:t>
      </w:r>
    </w:p>
    <w:p w14:paraId="2BB727DF">
      <w:pPr>
        <w:ind w:firstLine="560" w:firstLineChars="200"/>
        <w:rPr>
          <w:rFonts w:hint="eastAsia" w:ascii="宋体" w:hAnsi="宋体" w:eastAsia="宋体" w:cs="宋体"/>
          <w:sz w:val="28"/>
          <w:szCs w:val="28"/>
        </w:rPr>
      </w:pPr>
      <w:r>
        <w:rPr>
          <w:rFonts w:hint="eastAsia" w:ascii="宋体" w:hAnsi="宋体" w:eastAsia="宋体" w:cs="宋体"/>
          <w:sz w:val="28"/>
          <w:szCs w:val="28"/>
        </w:rPr>
        <w:t>案例：某项目地下丙类库房采用机械排烟系统，排烟口与补风口的水平净距小于5m。设计违规，如下图：</w:t>
      </w:r>
    </w:p>
    <w:p w14:paraId="2C816583">
      <w:pPr>
        <w:widowControl/>
        <w:ind w:firstLine="480" w:firstLineChars="200"/>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3198495" cy="2541905"/>
            <wp:effectExtent l="0" t="0" r="1905" b="0"/>
            <wp:docPr id="301741853" name="图片 301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41853" name="图片 30174185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3218820" cy="2558372"/>
                    </a:xfrm>
                    <a:prstGeom prst="rect">
                      <a:avLst/>
                    </a:prstGeom>
                    <a:noFill/>
                    <a:ln>
                      <a:noFill/>
                    </a:ln>
                  </pic:spPr>
                </pic:pic>
              </a:graphicData>
            </a:graphic>
          </wp:inline>
        </w:drawing>
      </w:r>
    </w:p>
    <w:p w14:paraId="7B2021B6">
      <w:pPr>
        <w:ind w:firstLine="560" w:firstLineChars="200"/>
        <w:rPr>
          <w:rFonts w:hint="eastAsia" w:ascii="宋体" w:hAnsi="宋体" w:eastAsia="宋体" w:cs="宋体"/>
          <w:sz w:val="28"/>
          <w:szCs w:val="28"/>
        </w:rPr>
      </w:pPr>
      <w:r>
        <w:rPr>
          <w:rFonts w:hint="eastAsia" w:ascii="宋体" w:hAnsi="宋体" w:eastAsia="宋体" w:cs="宋体"/>
          <w:sz w:val="28"/>
          <w:szCs w:val="28"/>
        </w:rPr>
        <w:t>5.0.23 地上总建筑面积大于1000m</w:t>
      </w:r>
      <w:r>
        <w:rPr>
          <w:rFonts w:ascii="宋体" w:hAnsi="宋体" w:eastAsia="宋体" w:cs="宋体"/>
          <w:sz w:val="28"/>
          <w:szCs w:val="28"/>
          <w:vertAlign w:val="superscript"/>
        </w:rPr>
        <w:t>2</w:t>
      </w:r>
      <w:r>
        <w:rPr>
          <w:rFonts w:hint="eastAsia" w:ascii="宋体" w:hAnsi="宋体" w:eastAsia="宋体" w:cs="宋体"/>
          <w:sz w:val="28"/>
          <w:szCs w:val="28"/>
        </w:rPr>
        <w:t>的酒吧、KTV等歌舞娱乐放映游艺场所，靠外墙但无可开启外窗，未设置应急排烟排热设施。</w:t>
      </w:r>
    </w:p>
    <w:p w14:paraId="1ABA3C21">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依据：《</w:t>
      </w:r>
      <w:r>
        <w:fldChar w:fldCharType="begin"/>
      </w:r>
      <w:r>
        <w:instrText xml:space="preserve"> HYPERLINK "https://gf.cabr-fire.com/list-1538.htm" </w:instrText>
      </w:r>
      <w:r>
        <w:fldChar w:fldCharType="separate"/>
      </w:r>
      <w:r>
        <w:rPr>
          <w:rFonts w:hint="eastAsia" w:ascii="宋体" w:hAnsi="宋体" w:eastAsia="宋体" w:cstheme="minorEastAsia"/>
          <w:sz w:val="28"/>
          <w:szCs w:val="28"/>
        </w:rPr>
        <w:t>建筑防火通用规范</w:t>
      </w:r>
      <w:r>
        <w:rPr>
          <w:rFonts w:hint="eastAsia" w:ascii="宋体" w:hAnsi="宋体" w:eastAsia="宋体" w:cstheme="minorEastAsia"/>
          <w:sz w:val="28"/>
          <w:szCs w:val="28"/>
        </w:rPr>
        <w:fldChar w:fldCharType="end"/>
      </w:r>
      <w:r>
        <w:rPr>
          <w:rFonts w:hint="eastAsia" w:ascii="宋体" w:hAnsi="宋体" w:eastAsia="宋体" w:cstheme="minorEastAsia"/>
          <w:sz w:val="28"/>
          <w:szCs w:val="28"/>
        </w:rPr>
        <w:t>》GB 55037-2022第2.2.5条第4款：“除有特殊功能、性能要求或火灾发展缓慢的场所可不在外墙或屋顶设置应急排烟排热设施外，下列无可开启外窗的地上建筑或部位均应在其每层外墙和（或）屋顶上设置应急排烟排热设施，且该应急排烟排热设施应具有手动、联动或依靠烟气温度等方式自动开启的功能：4 总建筑面积大于1000㎡的歌舞娱乐放映游艺场所中的房间和走道；”</w:t>
      </w:r>
    </w:p>
    <w:p w14:paraId="75A17EF3">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暖通专业应在图纸中注明应急排烟排热设施的位置及相应参数要求，并应提资建筑装饰专业，由建筑装饰专业落实到位。</w:t>
      </w:r>
    </w:p>
    <w:p w14:paraId="4F901C9F">
      <w:pPr>
        <w:ind w:firstLine="560" w:firstLineChars="200"/>
        <w:rPr>
          <w:rFonts w:hint="eastAsia" w:ascii="宋体" w:hAnsi="宋体" w:eastAsia="宋体" w:cstheme="minorEastAsia"/>
          <w:sz w:val="28"/>
          <w:szCs w:val="28"/>
        </w:rPr>
      </w:pPr>
      <w:r>
        <w:rPr>
          <w:rFonts w:hint="eastAsia" w:ascii="宋体" w:hAnsi="宋体" w:eastAsia="宋体" w:cstheme="minorEastAsia"/>
          <w:sz w:val="28"/>
          <w:szCs w:val="28"/>
        </w:rPr>
        <w:t>案例：某装修改造后的酒吧总面积超过了1</w:t>
      </w:r>
      <w:r>
        <w:rPr>
          <w:rFonts w:ascii="宋体" w:hAnsi="宋体" w:eastAsia="宋体" w:cstheme="minorEastAsia"/>
          <w:sz w:val="28"/>
          <w:szCs w:val="28"/>
        </w:rPr>
        <w:t>000m</w:t>
      </w:r>
      <w:r>
        <w:rPr>
          <w:rFonts w:ascii="宋体" w:hAnsi="宋体" w:eastAsia="宋体" w:cstheme="minorEastAsia"/>
          <w:sz w:val="28"/>
          <w:szCs w:val="28"/>
          <w:vertAlign w:val="superscript"/>
        </w:rPr>
        <w:t>2</w:t>
      </w:r>
      <w:r>
        <w:rPr>
          <w:rFonts w:hint="eastAsia" w:ascii="宋体" w:hAnsi="宋体" w:eastAsia="宋体" w:cstheme="minorEastAsia"/>
          <w:sz w:val="28"/>
          <w:szCs w:val="28"/>
        </w:rPr>
        <w:t>，项目设置有机械排烟设施，部分房间靠外墙但无可开启外窗，未在图纸上注明应急排烟排热设施。设计违规，如下图：</w:t>
      </w:r>
    </w:p>
    <w:p w14:paraId="66A6F2C6">
      <w:pPr>
        <w:jc w:val="center"/>
        <w:rPr>
          <w:rFonts w:hint="eastAsia" w:ascii="宋体" w:hAnsi="宋体" w:eastAsia="宋体" w:cstheme="minorEastAsia"/>
          <w:sz w:val="28"/>
          <w:szCs w:val="28"/>
        </w:rPr>
      </w:pPr>
      <w:r>
        <w:rPr>
          <w:rFonts w:ascii="宋体" w:hAnsi="宋体" w:eastAsia="宋体" w:cstheme="minorEastAsia"/>
          <w:sz w:val="28"/>
          <w:szCs w:val="28"/>
        </w:rPr>
        <w:drawing>
          <wp:inline distT="0" distB="0" distL="0" distR="0">
            <wp:extent cx="3967480" cy="2537460"/>
            <wp:effectExtent l="0" t="0" r="0" b="0"/>
            <wp:docPr id="485975735" name="图片 48597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5735" name="图片 48597573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3990476" cy="2552152"/>
                    </a:xfrm>
                    <a:prstGeom prst="rect">
                      <a:avLst/>
                    </a:prstGeom>
                    <a:noFill/>
                    <a:ln>
                      <a:noFill/>
                    </a:ln>
                  </pic:spPr>
                </pic:pic>
              </a:graphicData>
            </a:graphic>
          </wp:inline>
        </w:drawing>
      </w:r>
    </w:p>
    <w:p w14:paraId="2DBC8F2A">
      <w:pPr>
        <w:widowControl/>
        <w:ind w:firstLine="960"/>
        <w:jc w:val="left"/>
        <w:rPr>
          <w:rFonts w:hint="eastAsia" w:ascii="宋体" w:hAnsi="宋体" w:eastAsia="宋体" w:cs="宋体"/>
          <w:kern w:val="0"/>
          <w:sz w:val="24"/>
          <w:szCs w:val="24"/>
        </w:rPr>
      </w:pPr>
    </w:p>
    <w:p w14:paraId="35CD140D">
      <w:pPr>
        <w:rPr>
          <w:rFonts w:hint="eastAsia" w:ascii="宋体" w:hAnsi="宋体" w:eastAsia="宋体" w:cs="仿宋_GB2312"/>
          <w:sz w:val="28"/>
          <w:szCs w:val="28"/>
        </w:rPr>
      </w:pPr>
    </w:p>
    <w:p w14:paraId="4CCBE036">
      <w:pPr>
        <w:adjustRightInd w:val="0"/>
        <w:snapToGrid w:val="0"/>
        <w:spacing w:line="600" w:lineRule="exact"/>
        <w:rPr>
          <w:rFonts w:hint="eastAsia" w:ascii="宋体" w:hAnsi="宋体" w:eastAsia="宋体"/>
          <w:sz w:val="32"/>
          <w:szCs w:val="32"/>
        </w:rPr>
      </w:pPr>
    </w:p>
    <w:sectPr>
      <w:footerReference r:id="rId5" w:type="default"/>
      <w:pgSz w:w="11906" w:h="16838"/>
      <w:pgMar w:top="2098" w:right="1531" w:bottom="1985" w:left="1531"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TK" w:date="2025-03-12T09:44:00Z" w:initials="">
    <w:p w14:paraId="7B8CEA78">
      <w:pPr>
        <w:pStyle w:val="3"/>
      </w:pPr>
      <w:r>
        <w:annotationRef/>
      </w:r>
    </w:p>
  </w:comment>
  <w:comment w:id="1" w:author="TK" w:date="2024-08-23T14:48:00Z" w:initials="">
    <w:p w14:paraId="680BF866">
      <w:pPr>
        <w:pStyle w:val="3"/>
      </w:pPr>
      <w:r>
        <w:annotationRef/>
      </w:r>
    </w:p>
  </w:comment>
  <w:comment w:id="2" w:author="TK" w:date="2024-07-24T09:58:00Z" w:initials="">
    <w:p w14:paraId="2E45562B">
      <w:pPr>
        <w:pStyle w:val="3"/>
      </w:pPr>
      <w:r>
        <w:rPr>
          <w:rFonts w:hint="eastAsia"/>
        </w:rPr>
        <w:t>新增</w:t>
      </w:r>
    </w:p>
  </w:comment>
  <w:comment w:id="3" w:author="TK" w:date="2025-03-12T09:44:00Z" w:initials="">
    <w:p w14:paraId="04CB5A2F">
      <w:pPr>
        <w:pStyle w:val="3"/>
      </w:pPr>
      <w:r>
        <w:annotationRef/>
      </w:r>
    </w:p>
  </w:comment>
  <w:comment w:id="4" w:author="TK" w:date="2025-03-12T09:44:00Z" w:initials="">
    <w:p w14:paraId="1FF7FBA1">
      <w:pPr>
        <w:pStyle w:val="3"/>
      </w:pPr>
      <w:r>
        <w:annotationRef/>
      </w:r>
    </w:p>
  </w:comment>
  <w:comment w:id="5" w:author="TK" w:date="2025-03-12T09:44:00Z" w:initials="">
    <w:p w14:paraId="354E614E">
      <w:pPr>
        <w:pStyle w:val="3"/>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B8CEA78" w15:done="0"/>
  <w15:commentEx w15:paraId="680BF866" w15:done="0"/>
  <w15:commentEx w15:paraId="2E45562B" w15:done="0"/>
  <w15:commentEx w15:paraId="04CB5A2F" w15:done="0"/>
  <w15:commentEx w15:paraId="1FF7FBA1" w15:done="0"/>
  <w15:commentEx w15:paraId="354E614E"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_GBK">
    <w:panose1 w:val="03000509000000000000"/>
    <w:charset w:val="86"/>
    <w:family w:val="script"/>
    <w:pitch w:val="default"/>
    <w:sig w:usb0="00000001" w:usb1="080E0000" w:usb2="00000000" w:usb3="00000000" w:csb0="00040000" w:csb1="00000000"/>
  </w:font>
  <w:font w:name="Malgun Gothic">
    <w:panose1 w:val="020B0503020000020004"/>
    <w:charset w:val="81"/>
    <w:family w:val="swiss"/>
    <w:pitch w:val="default"/>
    <w:sig w:usb0="9000002F" w:usb1="29D77CFB" w:usb2="00000012" w:usb3="00000000" w:csb0="0008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91945125"/>
      <w:docPartObj>
        <w:docPartGallery w:val="autotext"/>
      </w:docPartObj>
    </w:sdtPr>
    <w:sdtContent>
      <w:p w14:paraId="2CAF78BF">
        <w:pPr>
          <w:pStyle w:val="7"/>
          <w:jc w:val="center"/>
          <w:rPr>
            <w:rFonts w:hint="eastAsia"/>
          </w:rPr>
        </w:pPr>
        <w:r>
          <w:fldChar w:fldCharType="begin"/>
        </w:r>
        <w:r>
          <w:instrText xml:space="preserve">PAGE   \* MERGEFORMAT</w:instrText>
        </w:r>
        <w:r>
          <w:fldChar w:fldCharType="separate"/>
        </w:r>
        <w:r>
          <w:rPr>
            <w:lang w:val="zh-CN"/>
          </w:rPr>
          <w:t>2</w:t>
        </w:r>
        <w:r>
          <w:fldChar w:fldCharType="end"/>
        </w:r>
      </w:p>
    </w:sdtContent>
  </w:sdt>
  <w:p w14:paraId="65DAE1A2">
    <w:pPr>
      <w:pStyle w:val="7"/>
      <w:rPr>
        <w:rFonts w:hint="eastAsia"/>
      </w:rPr>
    </w:pPr>
  </w:p>
</w:ft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TK">
    <w15:presenceInfo w15:providerId="None" w15:userId="T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82F"/>
    <w:rsid w:val="0003393A"/>
    <w:rsid w:val="000554E5"/>
    <w:rsid w:val="00075389"/>
    <w:rsid w:val="00093727"/>
    <w:rsid w:val="000D238B"/>
    <w:rsid w:val="000D5D13"/>
    <w:rsid w:val="0011269B"/>
    <w:rsid w:val="001446CC"/>
    <w:rsid w:val="001F7F65"/>
    <w:rsid w:val="00217CC7"/>
    <w:rsid w:val="00272600"/>
    <w:rsid w:val="00276B3B"/>
    <w:rsid w:val="002E6CF2"/>
    <w:rsid w:val="00316573"/>
    <w:rsid w:val="00332E2C"/>
    <w:rsid w:val="0034391D"/>
    <w:rsid w:val="00361C02"/>
    <w:rsid w:val="003B0B95"/>
    <w:rsid w:val="003C4090"/>
    <w:rsid w:val="003C7DF2"/>
    <w:rsid w:val="003E71FA"/>
    <w:rsid w:val="004027DD"/>
    <w:rsid w:val="004046E7"/>
    <w:rsid w:val="004102EB"/>
    <w:rsid w:val="00444070"/>
    <w:rsid w:val="004557BE"/>
    <w:rsid w:val="0046672C"/>
    <w:rsid w:val="004734D9"/>
    <w:rsid w:val="0047563F"/>
    <w:rsid w:val="00497C6C"/>
    <w:rsid w:val="004B3F11"/>
    <w:rsid w:val="004C09A6"/>
    <w:rsid w:val="00515382"/>
    <w:rsid w:val="00521E26"/>
    <w:rsid w:val="00566CB9"/>
    <w:rsid w:val="00584F7D"/>
    <w:rsid w:val="00586FE3"/>
    <w:rsid w:val="005C073B"/>
    <w:rsid w:val="005E05C3"/>
    <w:rsid w:val="00664C17"/>
    <w:rsid w:val="00675A05"/>
    <w:rsid w:val="00691E39"/>
    <w:rsid w:val="006A0E33"/>
    <w:rsid w:val="006A7695"/>
    <w:rsid w:val="006C4890"/>
    <w:rsid w:val="006C4A4A"/>
    <w:rsid w:val="006C6E7D"/>
    <w:rsid w:val="006E35A6"/>
    <w:rsid w:val="0070505B"/>
    <w:rsid w:val="007166C3"/>
    <w:rsid w:val="007318E4"/>
    <w:rsid w:val="007348FB"/>
    <w:rsid w:val="0073500D"/>
    <w:rsid w:val="00744BDA"/>
    <w:rsid w:val="00750321"/>
    <w:rsid w:val="00756E59"/>
    <w:rsid w:val="00757D81"/>
    <w:rsid w:val="00774789"/>
    <w:rsid w:val="007B437B"/>
    <w:rsid w:val="0080158F"/>
    <w:rsid w:val="0083133B"/>
    <w:rsid w:val="00842DEA"/>
    <w:rsid w:val="008462C7"/>
    <w:rsid w:val="00850BBC"/>
    <w:rsid w:val="00865A26"/>
    <w:rsid w:val="00876AF4"/>
    <w:rsid w:val="00876E28"/>
    <w:rsid w:val="0088660F"/>
    <w:rsid w:val="008B0E69"/>
    <w:rsid w:val="00915820"/>
    <w:rsid w:val="0091682F"/>
    <w:rsid w:val="00981397"/>
    <w:rsid w:val="009934A4"/>
    <w:rsid w:val="009A1CF7"/>
    <w:rsid w:val="009A37FF"/>
    <w:rsid w:val="009D596D"/>
    <w:rsid w:val="009F0115"/>
    <w:rsid w:val="00A024F8"/>
    <w:rsid w:val="00A06659"/>
    <w:rsid w:val="00A26318"/>
    <w:rsid w:val="00A74AF7"/>
    <w:rsid w:val="00AA0A71"/>
    <w:rsid w:val="00AB7950"/>
    <w:rsid w:val="00AC6352"/>
    <w:rsid w:val="00AD39ED"/>
    <w:rsid w:val="00AE3972"/>
    <w:rsid w:val="00AF2202"/>
    <w:rsid w:val="00AF76DF"/>
    <w:rsid w:val="00B37176"/>
    <w:rsid w:val="00B41FF5"/>
    <w:rsid w:val="00B73DC5"/>
    <w:rsid w:val="00B83D3D"/>
    <w:rsid w:val="00BC6DBD"/>
    <w:rsid w:val="00BF4404"/>
    <w:rsid w:val="00C00C03"/>
    <w:rsid w:val="00C7281E"/>
    <w:rsid w:val="00CA31DC"/>
    <w:rsid w:val="00CA44D6"/>
    <w:rsid w:val="00CB3AE9"/>
    <w:rsid w:val="00CD63B2"/>
    <w:rsid w:val="00CE59A5"/>
    <w:rsid w:val="00D214A3"/>
    <w:rsid w:val="00D92F36"/>
    <w:rsid w:val="00DB171F"/>
    <w:rsid w:val="00DE433D"/>
    <w:rsid w:val="00DF0C40"/>
    <w:rsid w:val="00DF269A"/>
    <w:rsid w:val="00E16CEB"/>
    <w:rsid w:val="00E30BC2"/>
    <w:rsid w:val="00E3557C"/>
    <w:rsid w:val="00E36A86"/>
    <w:rsid w:val="00E36AA2"/>
    <w:rsid w:val="00E50C86"/>
    <w:rsid w:val="00E556BE"/>
    <w:rsid w:val="00EE5E0F"/>
    <w:rsid w:val="00F01470"/>
    <w:rsid w:val="00F17D7A"/>
    <w:rsid w:val="00F249B2"/>
    <w:rsid w:val="00F446D2"/>
    <w:rsid w:val="00F71B0B"/>
    <w:rsid w:val="00F94716"/>
    <w:rsid w:val="00FA33B2"/>
    <w:rsid w:val="00FD08C6"/>
    <w:rsid w:val="00FD4099"/>
    <w:rsid w:val="00FD4C9C"/>
    <w:rsid w:val="0F3124AD"/>
    <w:rsid w:val="25D430C3"/>
    <w:rsid w:val="473736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0"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99"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6"/>
    <w:qFormat/>
    <w:uiPriority w:val="99"/>
    <w:pPr>
      <w:keepNext/>
      <w:keepLines/>
      <w:spacing w:before="340" w:after="330" w:line="576" w:lineRule="auto"/>
      <w:outlineLvl w:val="0"/>
    </w:pPr>
    <w:rPr>
      <w:rFonts w:ascii="Calibri" w:hAnsi="Calibri" w:eastAsia="宋体" w:cs="Calibri"/>
      <w:b/>
      <w:bCs/>
      <w:kern w:val="44"/>
      <w:sz w:val="44"/>
      <w:szCs w:val="44"/>
    </w:rPr>
  </w:style>
  <w:style w:type="character" w:default="1" w:styleId="15">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27"/>
    <w:unhideWhenUsed/>
    <w:qFormat/>
    <w:uiPriority w:val="0"/>
    <w:pPr>
      <w:jc w:val="left"/>
    </w:pPr>
    <w:rPr>
      <w:rFonts w:ascii="Calibri" w:hAnsi="Calibri" w:eastAsia="宋体" w:cs="Times New Roman"/>
      <w:szCs w:val="21"/>
    </w:rPr>
  </w:style>
  <w:style w:type="paragraph" w:styleId="4">
    <w:name w:val="Body Text"/>
    <w:basedOn w:val="1"/>
    <w:link w:val="28"/>
    <w:unhideWhenUsed/>
    <w:qFormat/>
    <w:uiPriority w:val="99"/>
    <w:pPr>
      <w:widowControl/>
      <w:jc w:val="left"/>
    </w:pPr>
    <w:rPr>
      <w:rFonts w:ascii="宋体" w:hAnsi="宋体" w:eastAsia="宋体" w:cs="宋体"/>
      <w:b/>
      <w:bCs/>
      <w:color w:val="000000"/>
      <w:kern w:val="0"/>
      <w:sz w:val="20"/>
      <w:szCs w:val="20"/>
    </w:rPr>
  </w:style>
  <w:style w:type="paragraph" w:styleId="5">
    <w:name w:val="Date"/>
    <w:basedOn w:val="1"/>
    <w:next w:val="1"/>
    <w:link w:val="21"/>
    <w:unhideWhenUsed/>
    <w:qFormat/>
    <w:uiPriority w:val="0"/>
    <w:pPr>
      <w:ind w:left="100" w:leftChars="2500"/>
    </w:pPr>
  </w:style>
  <w:style w:type="paragraph" w:styleId="6">
    <w:name w:val="Balloon Text"/>
    <w:basedOn w:val="1"/>
    <w:link w:val="29"/>
    <w:qFormat/>
    <w:uiPriority w:val="99"/>
    <w:rPr>
      <w:rFonts w:ascii="Calibri" w:hAnsi="Calibri" w:eastAsia="宋体" w:cs="Calibri"/>
      <w:sz w:val="18"/>
      <w:szCs w:val="18"/>
    </w:rPr>
  </w:style>
  <w:style w:type="paragraph" w:styleId="7">
    <w:name w:val="footer"/>
    <w:basedOn w:val="1"/>
    <w:link w:val="23"/>
    <w:unhideWhenUsed/>
    <w:qFormat/>
    <w:uiPriority w:val="99"/>
    <w:pPr>
      <w:tabs>
        <w:tab w:val="center" w:pos="4153"/>
        <w:tab w:val="right" w:pos="8306"/>
      </w:tabs>
      <w:snapToGrid w:val="0"/>
      <w:jc w:val="left"/>
    </w:pPr>
    <w:rPr>
      <w:sz w:val="18"/>
      <w:szCs w:val="18"/>
    </w:rPr>
  </w:style>
  <w:style w:type="paragraph" w:styleId="8">
    <w:name w:val="header"/>
    <w:basedOn w:val="1"/>
    <w:link w:val="22"/>
    <w:unhideWhenUsed/>
    <w:qFormat/>
    <w:uiPriority w:val="99"/>
    <w:pPr>
      <w:tabs>
        <w:tab w:val="center" w:pos="4153"/>
        <w:tab w:val="right" w:pos="8306"/>
      </w:tabs>
      <w:snapToGrid w:val="0"/>
      <w:jc w:val="center"/>
    </w:pPr>
    <w:rPr>
      <w:sz w:val="18"/>
      <w:szCs w:val="18"/>
    </w:rPr>
  </w:style>
  <w:style w:type="paragraph" w:styleId="9">
    <w:name w:val="toc 1"/>
    <w:basedOn w:val="1"/>
    <w:next w:val="1"/>
    <w:unhideWhenUsed/>
    <w:qFormat/>
    <w:uiPriority w:val="0"/>
    <w:rPr>
      <w:rFonts w:ascii="Calibri" w:hAnsi="Calibri" w:eastAsia="宋体" w:cs="Calibri"/>
      <w:szCs w:val="21"/>
    </w:rPr>
  </w:style>
  <w:style w:type="paragraph" w:styleId="10">
    <w:name w:val="Normal (Web)"/>
    <w:basedOn w:val="1"/>
    <w:qFormat/>
    <w:uiPriority w:val="99"/>
    <w:pPr>
      <w:widowControl/>
      <w:spacing w:before="100" w:beforeAutospacing="1" w:after="100" w:afterAutospacing="1" w:line="330" w:lineRule="atLeast"/>
      <w:jc w:val="left"/>
    </w:pPr>
    <w:rPr>
      <w:rFonts w:ascii="宋体" w:hAnsi="宋体" w:eastAsia="宋体" w:cs="宋体"/>
      <w:kern w:val="0"/>
      <w:sz w:val="22"/>
    </w:rPr>
  </w:style>
  <w:style w:type="paragraph" w:styleId="11">
    <w:name w:val="Title"/>
    <w:basedOn w:val="1"/>
    <w:next w:val="1"/>
    <w:link w:val="30"/>
    <w:qFormat/>
    <w:uiPriority w:val="10"/>
    <w:pPr>
      <w:keepNext/>
      <w:keepLines/>
      <w:spacing w:line="408" w:lineRule="auto"/>
      <w:jc w:val="center"/>
      <w:outlineLvl w:val="0"/>
    </w:pPr>
    <w:rPr>
      <w:b/>
      <w:bCs/>
      <w:color w:val="1A1A1A"/>
      <w:sz w:val="48"/>
      <w:szCs w:val="48"/>
    </w:rPr>
  </w:style>
  <w:style w:type="paragraph" w:styleId="12">
    <w:name w:val="Body Text First Indent"/>
    <w:basedOn w:val="4"/>
    <w:link w:val="31"/>
    <w:unhideWhenUsed/>
    <w:qFormat/>
    <w:uiPriority w:val="99"/>
    <w:pPr>
      <w:widowControl w:val="0"/>
      <w:spacing w:after="120"/>
      <w:ind w:firstLine="420" w:firstLineChars="100"/>
      <w:jc w:val="both"/>
    </w:pPr>
    <w:rPr>
      <w:rFonts w:asciiTheme="minorHAnsi" w:hAnsiTheme="minorHAnsi" w:eastAsiaTheme="minorEastAsia" w:cstheme="minorBidi"/>
      <w:b w:val="0"/>
      <w:bCs w:val="0"/>
      <w:color w:val="auto"/>
      <w:kern w:val="2"/>
      <w:sz w:val="21"/>
      <w:szCs w:val="22"/>
    </w:rPr>
  </w:style>
  <w:style w:type="table" w:styleId="14">
    <w:name w:val="Table Grid"/>
    <w:basedOn w:val="13"/>
    <w:qFormat/>
    <w:uiPriority w:val="5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99"/>
    <w:rPr>
      <w:b/>
      <w:bCs/>
    </w:rPr>
  </w:style>
  <w:style w:type="character" w:styleId="17">
    <w:name w:val="Emphasis"/>
    <w:basedOn w:val="15"/>
    <w:qFormat/>
    <w:uiPriority w:val="20"/>
    <w:rPr>
      <w:i/>
      <w:iCs/>
    </w:rPr>
  </w:style>
  <w:style w:type="character" w:styleId="18">
    <w:name w:val="Hyperlink"/>
    <w:basedOn w:val="15"/>
    <w:unhideWhenUsed/>
    <w:qFormat/>
    <w:uiPriority w:val="99"/>
    <w:rPr>
      <w:color w:val="0563C1" w:themeColor="hyperlink"/>
      <w:u w:val="single"/>
      <w14:textFill>
        <w14:solidFill>
          <w14:schemeClr w14:val="hlink"/>
        </w14:solidFill>
      </w14:textFill>
    </w:rPr>
  </w:style>
  <w:style w:type="character" w:styleId="19">
    <w:name w:val="annotation reference"/>
    <w:basedOn w:val="15"/>
    <w:semiHidden/>
    <w:unhideWhenUsed/>
    <w:qFormat/>
    <w:uiPriority w:val="99"/>
    <w:rPr>
      <w:sz w:val="21"/>
      <w:szCs w:val="21"/>
    </w:rPr>
  </w:style>
  <w:style w:type="character" w:customStyle="1" w:styleId="20">
    <w:name w:val="Unresolved Mention"/>
    <w:basedOn w:val="15"/>
    <w:semiHidden/>
    <w:unhideWhenUsed/>
    <w:qFormat/>
    <w:uiPriority w:val="99"/>
    <w:rPr>
      <w:color w:val="605E5C"/>
      <w:shd w:val="clear" w:color="auto" w:fill="E1DFDD"/>
    </w:rPr>
  </w:style>
  <w:style w:type="character" w:customStyle="1" w:styleId="21">
    <w:name w:val="日期 字符"/>
    <w:basedOn w:val="15"/>
    <w:link w:val="5"/>
    <w:semiHidden/>
    <w:qFormat/>
    <w:uiPriority w:val="99"/>
  </w:style>
  <w:style w:type="character" w:customStyle="1" w:styleId="22">
    <w:name w:val="页眉 字符"/>
    <w:basedOn w:val="15"/>
    <w:link w:val="8"/>
    <w:qFormat/>
    <w:uiPriority w:val="99"/>
    <w:rPr>
      <w:sz w:val="18"/>
      <w:szCs w:val="18"/>
    </w:rPr>
  </w:style>
  <w:style w:type="character" w:customStyle="1" w:styleId="23">
    <w:name w:val="页脚 字符"/>
    <w:basedOn w:val="15"/>
    <w:link w:val="7"/>
    <w:qFormat/>
    <w:uiPriority w:val="99"/>
    <w:rPr>
      <w:sz w:val="18"/>
      <w:szCs w:val="18"/>
    </w:rPr>
  </w:style>
  <w:style w:type="paragraph" w:styleId="24">
    <w:name w:val="List Paragraph"/>
    <w:basedOn w:val="1"/>
    <w:qFormat/>
    <w:uiPriority w:val="99"/>
    <w:pPr>
      <w:ind w:firstLine="420" w:firstLineChars="200"/>
    </w:pPr>
  </w:style>
  <w:style w:type="character" w:customStyle="1" w:styleId="25">
    <w:name w:val="日期 Char"/>
    <w:qFormat/>
    <w:uiPriority w:val="0"/>
    <w:rPr>
      <w:rFonts w:ascii="Times New Roman" w:hAnsi="Times New Roman" w:eastAsia="宋体" w:cs="Times New Roman"/>
      <w:sz w:val="28"/>
      <w:szCs w:val="28"/>
    </w:rPr>
  </w:style>
  <w:style w:type="character" w:customStyle="1" w:styleId="26">
    <w:name w:val="标题 1 字符"/>
    <w:basedOn w:val="15"/>
    <w:link w:val="2"/>
    <w:qFormat/>
    <w:uiPriority w:val="99"/>
    <w:rPr>
      <w:rFonts w:ascii="Calibri" w:hAnsi="Calibri" w:eastAsia="宋体" w:cs="Calibri"/>
      <w:b/>
      <w:bCs/>
      <w:kern w:val="44"/>
      <w:sz w:val="44"/>
      <w:szCs w:val="44"/>
    </w:rPr>
  </w:style>
  <w:style w:type="character" w:customStyle="1" w:styleId="27">
    <w:name w:val="批注文字 字符"/>
    <w:basedOn w:val="15"/>
    <w:link w:val="3"/>
    <w:qFormat/>
    <w:uiPriority w:val="0"/>
    <w:rPr>
      <w:rFonts w:ascii="Calibri" w:hAnsi="Calibri" w:eastAsia="宋体" w:cs="Times New Roman"/>
      <w:szCs w:val="21"/>
    </w:rPr>
  </w:style>
  <w:style w:type="character" w:customStyle="1" w:styleId="28">
    <w:name w:val="正文文本 字符"/>
    <w:basedOn w:val="15"/>
    <w:link w:val="4"/>
    <w:qFormat/>
    <w:uiPriority w:val="99"/>
    <w:rPr>
      <w:rFonts w:ascii="宋体" w:hAnsi="宋体" w:eastAsia="宋体" w:cs="宋体"/>
      <w:b/>
      <w:bCs/>
      <w:color w:val="000000"/>
      <w:kern w:val="0"/>
      <w:sz w:val="20"/>
      <w:szCs w:val="20"/>
    </w:rPr>
  </w:style>
  <w:style w:type="character" w:customStyle="1" w:styleId="29">
    <w:name w:val="批注框文本 字符"/>
    <w:basedOn w:val="15"/>
    <w:link w:val="6"/>
    <w:qFormat/>
    <w:uiPriority w:val="99"/>
    <w:rPr>
      <w:rFonts w:ascii="Calibri" w:hAnsi="Calibri" w:eastAsia="宋体" w:cs="Calibri"/>
      <w:sz w:val="18"/>
      <w:szCs w:val="18"/>
    </w:rPr>
  </w:style>
  <w:style w:type="character" w:customStyle="1" w:styleId="30">
    <w:name w:val="标题 字符"/>
    <w:basedOn w:val="15"/>
    <w:link w:val="11"/>
    <w:qFormat/>
    <w:uiPriority w:val="10"/>
    <w:rPr>
      <w:b/>
      <w:bCs/>
      <w:color w:val="1A1A1A"/>
      <w:sz w:val="48"/>
      <w:szCs w:val="48"/>
    </w:rPr>
  </w:style>
  <w:style w:type="character" w:customStyle="1" w:styleId="31">
    <w:name w:val="正文文本首行缩进 字符"/>
    <w:basedOn w:val="28"/>
    <w:link w:val="12"/>
    <w:qFormat/>
    <w:uiPriority w:val="99"/>
    <w:rPr>
      <w:rFonts w:ascii="宋体" w:hAnsi="宋体" w:eastAsia="宋体" w:cs="宋体"/>
      <w:b w:val="0"/>
      <w:bCs w:val="0"/>
      <w:color w:val="000000"/>
      <w:kern w:val="0"/>
      <w:sz w:val="20"/>
      <w:szCs w:val="20"/>
    </w:rPr>
  </w:style>
  <w:style w:type="paragraph" w:customStyle="1" w:styleId="32">
    <w:name w:val="段"/>
    <w:link w:val="33"/>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kern w:val="0"/>
      <w:sz w:val="22"/>
      <w:szCs w:val="20"/>
      <w:lang w:val="en-US" w:eastAsia="zh-CN" w:bidi="ar-SA"/>
    </w:rPr>
  </w:style>
  <w:style w:type="character" w:customStyle="1" w:styleId="33">
    <w:name w:val="段 Char"/>
    <w:link w:val="32"/>
    <w:qFormat/>
    <w:locked/>
    <w:uiPriority w:val="0"/>
    <w:rPr>
      <w:rFonts w:ascii="宋体" w:hAnsi="Times New Roman" w:eastAsia="宋体" w:cs="Times New Roman"/>
      <w:kern w:val="0"/>
      <w:sz w:val="22"/>
      <w:szCs w:val="20"/>
    </w:rPr>
  </w:style>
  <w:style w:type="paragraph" w:customStyle="1" w:styleId="34">
    <w:name w:val="paragraph"/>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35">
    <w:name w:val="正文1"/>
    <w:qFormat/>
    <w:uiPriority w:val="0"/>
    <w:pPr>
      <w:jc w:val="both"/>
    </w:pPr>
    <w:rPr>
      <w:rFonts w:ascii="Calibri" w:hAnsi="Calibri" w:eastAsia="宋体" w:cs="Calibri"/>
      <w:kern w:val="2"/>
      <w:sz w:val="21"/>
      <w:szCs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microsoft.com/office/2007/relationships/hdphoto" Target="media/image63.wdp"/><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png"/><Relationship Id="rId40" Type="http://schemas.openxmlformats.org/officeDocument/2006/relationships/image" Target="media/image34.png"/><Relationship Id="rId4" Type="http://schemas.microsoft.com/office/2011/relationships/commentsExtended" Target="commentsExtended.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png"/><Relationship Id="rId3" Type="http://schemas.openxmlformats.org/officeDocument/2006/relationships/comments" Target="comment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0" Type="http://schemas.microsoft.com/office/2011/relationships/people" Target="people.xml"/><Relationship Id="rId12" Type="http://schemas.openxmlformats.org/officeDocument/2006/relationships/image" Target="media/image6.png"/><Relationship Id="rId119" Type="http://schemas.openxmlformats.org/officeDocument/2006/relationships/fontTable" Target="fontTable.xml"/><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jpe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84</Pages>
  <Words>14310</Words>
  <Characters>16193</Characters>
  <Lines>194</Lines>
  <Paragraphs>54</Paragraphs>
  <TotalTime>106</TotalTime>
  <ScaleCrop>false</ScaleCrop>
  <LinksUpToDate>false</LinksUpToDate>
  <CharactersWithSpaces>16515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2025-03-12T09:19:00Z</dcterms:created>
  <dc:creator>lsy</dc:creator>
  <cp:lastModifiedBy>Athena </cp:lastModifiedBy>
  <cp:lastPrinted>2025-03-14T07:48:00Z</cp:lastPrinted>
  <dcterms:modified xsi:type="dcterms:W3CDTF">2025-03-20T02:07:52Z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4F348A20D030467F962F61B374944C90_13</vt:lpwstr>
  </property>
  <property fmtid="{D5CDD505-2E9C-101B-9397-08002B2CF9AE}" pid="4" name="KSOTemplateDocerSaveRecord">
    <vt:lpwstr>eyJoZGlkIjoiMGY5MjU1YTg1NmJjMjA2OGU1YTY2YjhkMmEwMWVlNDciLCJ1c2VySWQiOiI1OTM5ODEyMjkifQ==</vt:lpwstr>
  </property>
</Properties>
</file>