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27C5B">
      <w:pPr>
        <w:pStyle w:val="13"/>
        <w:overflowPunct w:val="0"/>
        <w:jc w:val="lef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45045640">
      <w:pPr>
        <w:overflowPunct w:val="0"/>
        <w:ind w:firstLine="632"/>
        <w:jc w:val="left"/>
        <w:rPr>
          <w:rFonts w:eastAsia="黑体" w:cs="Times New Roman"/>
          <w:color w:val="auto"/>
          <w:szCs w:val="32"/>
        </w:rPr>
      </w:pPr>
      <w:bookmarkStart w:id="8" w:name="_GoBack"/>
      <w:bookmarkEnd w:id="8"/>
    </w:p>
    <w:p w14:paraId="6A2CCAE5">
      <w:pPr>
        <w:pStyle w:val="13"/>
        <w:overflowPunct w:val="0"/>
        <w:rPr>
          <w:color w:val="auto"/>
        </w:rPr>
      </w:pPr>
      <w:bookmarkStart w:id="0" w:name="OLE_LINK9"/>
      <w:bookmarkStart w:id="1" w:name="OLE_LINK8"/>
      <w:bookmarkStart w:id="2" w:name="OLE_LINK10"/>
      <w:r>
        <w:rPr>
          <w:rFonts w:hint="eastAsia"/>
          <w:color w:val="auto"/>
        </w:rPr>
        <w:t>重庆市住房和城乡建设委员会</w:t>
      </w:r>
    </w:p>
    <w:p w14:paraId="5D7B7275">
      <w:pPr>
        <w:pStyle w:val="13"/>
        <w:overflowPunct w:val="0"/>
        <w:rPr>
          <w:color w:val="auto"/>
        </w:rPr>
      </w:pPr>
      <w:r>
        <w:rPr>
          <w:rFonts w:hint="eastAsia"/>
          <w:color w:val="auto"/>
        </w:rPr>
        <w:t>关于进一步加强全市高切坡、深基坑和高填方项目勘察设计管理的意见</w:t>
      </w:r>
    </w:p>
    <w:p w14:paraId="1264B761">
      <w:pPr>
        <w:pStyle w:val="12"/>
        <w:widowControl/>
        <w:shd w:val="clear" w:color="auto" w:fill="FFFFFF"/>
        <w:overflowPunct w:val="0"/>
        <w:spacing w:line="570" w:lineRule="atLeast"/>
        <w:ind w:firstLine="0" w:firstLineChars="0"/>
        <w:jc w:val="center"/>
        <w:rPr>
          <w:rFonts w:hint="eastAsia" w:ascii="楷体" w:hAnsi="楷体" w:eastAsia="楷体" w:cs="楷体"/>
          <w:color w:val="auto"/>
          <w:sz w:val="31"/>
          <w:szCs w:val="31"/>
          <w:shd w:val="clear" w:color="auto" w:fill="FFFFFF"/>
          <w:lang w:eastAsia="zh-CN"/>
        </w:rPr>
      </w:pPr>
      <w:r>
        <w:rPr>
          <w:rFonts w:hint="eastAsia" w:ascii="楷体" w:hAnsi="楷体" w:eastAsia="楷体" w:cs="楷体"/>
          <w:color w:val="auto"/>
          <w:sz w:val="31"/>
          <w:szCs w:val="31"/>
          <w:shd w:val="clear" w:color="auto" w:fill="FFFFFF"/>
          <w:lang w:val="en-US" w:eastAsia="zh-CN"/>
        </w:rPr>
        <w:t>（</w:t>
      </w:r>
      <w:r>
        <w:rPr>
          <w:rFonts w:hint="eastAsia" w:ascii="楷体" w:hAnsi="楷体" w:eastAsia="楷体" w:cs="楷体"/>
          <w:color w:val="auto"/>
          <w:sz w:val="31"/>
          <w:szCs w:val="31"/>
          <w:shd w:val="clear" w:color="auto" w:fill="FFFFFF"/>
        </w:rPr>
        <w:t>征求意见稿</w:t>
      </w:r>
      <w:r>
        <w:rPr>
          <w:rFonts w:hint="eastAsia" w:ascii="楷体" w:hAnsi="楷体" w:eastAsia="楷体" w:cs="楷体"/>
          <w:color w:val="auto"/>
          <w:sz w:val="31"/>
          <w:szCs w:val="31"/>
          <w:shd w:val="clear" w:color="auto" w:fill="FFFFFF"/>
          <w:lang w:eastAsia="zh-CN"/>
        </w:rPr>
        <w:t>）</w:t>
      </w:r>
    </w:p>
    <w:p w14:paraId="19096E7F">
      <w:pPr>
        <w:overflowPunct w:val="0"/>
        <w:ind w:firstLine="0" w:firstLineChars="0"/>
        <w:rPr>
          <w:rFonts w:hint="eastAsia"/>
          <w:color w:val="auto"/>
        </w:rPr>
      </w:pPr>
    </w:p>
    <w:p w14:paraId="76728BBD">
      <w:pPr>
        <w:overflowPunct w:val="0"/>
        <w:ind w:firstLine="0" w:firstLineChars="0"/>
        <w:rPr>
          <w:color w:val="auto"/>
        </w:rPr>
      </w:pPr>
      <w:r>
        <w:rPr>
          <w:rFonts w:hint="eastAsia"/>
          <w:color w:val="auto"/>
        </w:rPr>
        <w:t>各区县（自治县）住房城乡建委，两江新区、重庆高新区建设局，万盛经开区住房城乡建设局、双桥经开区建设局、经开区生态环境建管局，各有关单位：</w:t>
      </w:r>
    </w:p>
    <w:p w14:paraId="34307A8C">
      <w:pPr>
        <w:overflowPunct w:val="0"/>
        <w:ind w:firstLine="632"/>
        <w:rPr>
          <w:rFonts w:hint="eastAsia" w:eastAsia="方正仿宋_GBK"/>
          <w:color w:val="auto"/>
          <w:lang w:eastAsia="zh-CN"/>
        </w:rPr>
      </w:pPr>
      <w:r>
        <w:rPr>
          <w:rFonts w:hint="eastAsia"/>
          <w:color w:val="auto"/>
        </w:rPr>
        <w:t>为规范我市高切坡、深基坑和高填方项目（以下简称“高边坡项目”）管理，保障工程建设质量安全，现就进一步加强高边坡项目勘察设计管理工作提出如下意见</w:t>
      </w:r>
      <w:r>
        <w:rPr>
          <w:rFonts w:hint="eastAsia"/>
          <w:color w:val="auto"/>
          <w:lang w:eastAsia="zh-CN"/>
        </w:rPr>
        <w:t>：</w:t>
      </w:r>
    </w:p>
    <w:p w14:paraId="2E1B57CA">
      <w:pPr>
        <w:pStyle w:val="2"/>
        <w:overflowPunct w:val="0"/>
        <w:ind w:firstLine="632"/>
        <w:rPr>
          <w:rFonts w:hint="eastAsia" w:eastAsia="方正黑体_GBK"/>
          <w:color w:val="auto"/>
          <w:lang w:eastAsia="zh-CN"/>
        </w:rPr>
      </w:pPr>
      <w:r>
        <w:rPr>
          <w:color w:val="auto"/>
        </w:rPr>
        <w:t>一、</w:t>
      </w:r>
      <w:r>
        <w:rPr>
          <w:rFonts w:hint="eastAsia"/>
          <w:color w:val="auto"/>
          <w:lang w:eastAsia="zh-CN"/>
        </w:rPr>
        <w:t>明确高边坡项目界定</w:t>
      </w:r>
    </w:p>
    <w:p w14:paraId="49201FEB">
      <w:pPr>
        <w:overflowPunct w:val="0"/>
        <w:ind w:firstLine="632"/>
        <w:rPr>
          <w:color w:val="auto"/>
        </w:rPr>
      </w:pPr>
      <w:r>
        <w:rPr>
          <w:rFonts w:hint="eastAsia"/>
          <w:color w:val="auto"/>
        </w:rPr>
        <w:t>本意见所称高</w:t>
      </w:r>
      <w:r>
        <w:rPr>
          <w:rFonts w:hint="eastAsia"/>
          <w:color w:val="auto"/>
          <w:lang w:eastAsia="zh-CN"/>
        </w:rPr>
        <w:t>边坡</w:t>
      </w:r>
      <w:r>
        <w:rPr>
          <w:rFonts w:hint="eastAsia"/>
          <w:color w:val="auto"/>
        </w:rPr>
        <w:t>项目是指因</w:t>
      </w:r>
      <w:r>
        <w:rPr>
          <w:rFonts w:hint="eastAsia"/>
          <w:strike w:val="0"/>
          <w:color w:val="auto"/>
          <w:lang w:eastAsia="zh-CN"/>
        </w:rPr>
        <w:t>房屋建筑和市政基础设施工程（以下统称“</w:t>
      </w:r>
      <w:r>
        <w:rPr>
          <w:rFonts w:hint="eastAsia"/>
          <w:color w:val="auto"/>
        </w:rPr>
        <w:t>主体建设工程</w:t>
      </w:r>
      <w:r>
        <w:rPr>
          <w:rFonts w:hint="eastAsia"/>
          <w:strike w:val="0"/>
          <w:color w:val="auto"/>
          <w:lang w:eastAsia="zh-CN"/>
        </w:rPr>
        <w:t>”）</w:t>
      </w:r>
      <w:r>
        <w:rPr>
          <w:rFonts w:hint="eastAsia"/>
          <w:color w:val="auto"/>
        </w:rPr>
        <w:t>开挖或填筑所形成的边坡，并符合下列规定之一：</w:t>
      </w:r>
    </w:p>
    <w:p w14:paraId="4D3DA929">
      <w:pPr>
        <w:overflowPunct w:val="0"/>
        <w:ind w:firstLine="632"/>
        <w:rPr>
          <w:color w:val="auto"/>
        </w:rPr>
      </w:pPr>
      <w:r>
        <w:rPr>
          <w:color w:val="auto"/>
        </w:rPr>
        <w:t>（一）高切坡：岩质边坡高度</w:t>
      </w:r>
      <w:r>
        <w:rPr>
          <w:rFonts w:hint="eastAsia" w:ascii="方正小标宋_GBK" w:hAnsi="方正小标宋_GBK" w:eastAsia="方正小标宋_GBK" w:cs="方正小标宋_GBK"/>
          <w:color w:val="auto"/>
        </w:rPr>
        <w:t>≥</w:t>
      </w:r>
      <w:r>
        <w:rPr>
          <w:color w:val="auto"/>
        </w:rPr>
        <w:t>15米，岩土混合边坡高度</w:t>
      </w:r>
      <w:r>
        <w:rPr>
          <w:rFonts w:hint="eastAsia" w:ascii="方正小标宋_GBK" w:hAnsi="方正小标宋_GBK" w:eastAsia="方正小标宋_GBK" w:cs="方正小标宋_GBK"/>
          <w:color w:val="auto"/>
        </w:rPr>
        <w:t>≥</w:t>
      </w:r>
      <w:r>
        <w:rPr>
          <w:color w:val="auto"/>
        </w:rPr>
        <w:t>12米且土层厚度</w:t>
      </w:r>
      <w:r>
        <w:rPr>
          <w:rFonts w:hint="eastAsia" w:ascii="方正小标宋_GBK" w:hAnsi="方正小标宋_GBK" w:eastAsia="方正小标宋_GBK" w:cs="方正小标宋_GBK"/>
          <w:color w:val="auto"/>
        </w:rPr>
        <w:t>≥</w:t>
      </w:r>
      <w:r>
        <w:rPr>
          <w:color w:val="auto"/>
        </w:rPr>
        <w:t>4米，土质边坡高度</w:t>
      </w:r>
      <w:r>
        <w:rPr>
          <w:rFonts w:hint="eastAsia" w:ascii="方正小标宋_GBK" w:hAnsi="方正小标宋_GBK" w:eastAsia="方正小标宋_GBK" w:cs="方正小标宋_GBK"/>
          <w:color w:val="auto"/>
        </w:rPr>
        <w:t>≥</w:t>
      </w:r>
      <w:r>
        <w:rPr>
          <w:color w:val="auto"/>
        </w:rPr>
        <w:t>8米</w:t>
      </w:r>
      <w:r>
        <w:rPr>
          <w:rFonts w:hint="eastAsia"/>
          <w:color w:val="auto"/>
        </w:rPr>
        <w:t>；</w:t>
      </w:r>
    </w:p>
    <w:p w14:paraId="0CEEB1D5">
      <w:pPr>
        <w:overflowPunct w:val="0"/>
        <w:ind w:firstLine="632"/>
        <w:rPr>
          <w:color w:val="auto"/>
        </w:rPr>
      </w:pPr>
      <w:r>
        <w:rPr>
          <w:color w:val="auto"/>
        </w:rPr>
        <w:t>（二）深基坑：岩质基坑高度</w:t>
      </w:r>
      <w:r>
        <w:rPr>
          <w:rFonts w:hint="eastAsia" w:ascii="方正小标宋_GBK" w:hAnsi="方正小标宋_GBK" w:eastAsia="方正小标宋_GBK" w:cs="方正小标宋_GBK"/>
          <w:color w:val="auto"/>
        </w:rPr>
        <w:t>≥</w:t>
      </w:r>
      <w:r>
        <w:rPr>
          <w:color w:val="auto"/>
        </w:rPr>
        <w:t>12米，岩土混合基坑高度</w:t>
      </w:r>
      <w:r>
        <w:rPr>
          <w:rFonts w:hint="eastAsia" w:ascii="方正小标宋_GBK" w:hAnsi="方正小标宋_GBK" w:eastAsia="方正小标宋_GBK" w:cs="方正小标宋_GBK"/>
          <w:color w:val="auto"/>
        </w:rPr>
        <w:t>≥</w:t>
      </w:r>
      <w:r>
        <w:rPr>
          <w:color w:val="auto"/>
        </w:rPr>
        <w:t>8米且土层厚度</w:t>
      </w:r>
      <w:r>
        <w:rPr>
          <w:rFonts w:hint="eastAsia" w:ascii="方正小标宋_GBK" w:hAnsi="方正小标宋_GBK" w:eastAsia="方正小标宋_GBK" w:cs="方正小标宋_GBK"/>
          <w:color w:val="auto"/>
        </w:rPr>
        <w:t>≥</w:t>
      </w:r>
      <w:r>
        <w:rPr>
          <w:color w:val="auto"/>
        </w:rPr>
        <w:t>4米，土质基坑高度</w:t>
      </w:r>
      <w:r>
        <w:rPr>
          <w:rFonts w:hint="eastAsia" w:ascii="方正小标宋_GBK" w:hAnsi="方正小标宋_GBK" w:eastAsia="方正小标宋_GBK" w:cs="方正小标宋_GBK"/>
          <w:color w:val="auto"/>
        </w:rPr>
        <w:t>≥</w:t>
      </w:r>
      <w:r>
        <w:rPr>
          <w:color w:val="auto"/>
        </w:rPr>
        <w:t>5米</w:t>
      </w:r>
      <w:r>
        <w:rPr>
          <w:rFonts w:hint="eastAsia"/>
          <w:color w:val="auto"/>
        </w:rPr>
        <w:t>；</w:t>
      </w:r>
    </w:p>
    <w:p w14:paraId="64FF8B1B">
      <w:pPr>
        <w:overflowPunct w:val="0"/>
        <w:ind w:firstLine="632"/>
        <w:rPr>
          <w:color w:val="auto"/>
        </w:rPr>
      </w:pPr>
      <w:r>
        <w:rPr>
          <w:color w:val="auto"/>
        </w:rPr>
        <w:t>（三）高填方：填方边坡高度</w:t>
      </w:r>
      <w:r>
        <w:rPr>
          <w:rFonts w:hint="eastAsia" w:ascii="方正小标宋_GBK" w:hAnsi="方正小标宋_GBK" w:eastAsia="方正小标宋_GBK" w:cs="方正小标宋_GBK"/>
          <w:color w:val="auto"/>
        </w:rPr>
        <w:t>≥</w:t>
      </w:r>
      <w:r>
        <w:rPr>
          <w:color w:val="auto"/>
        </w:rPr>
        <w:t>8米。</w:t>
      </w:r>
    </w:p>
    <w:p w14:paraId="2FEC082B">
      <w:pPr>
        <w:pStyle w:val="2"/>
        <w:overflowPunct w:val="0"/>
        <w:ind w:firstLine="632"/>
        <w:rPr>
          <w:rFonts w:hint="eastAsia" w:eastAsia="方正黑体_GBK"/>
          <w:color w:val="auto"/>
          <w:lang w:eastAsia="zh-CN"/>
        </w:rPr>
      </w:pPr>
      <w:r>
        <w:rPr>
          <w:color w:val="auto"/>
        </w:rPr>
        <w:t>二、</w:t>
      </w:r>
      <w:r>
        <w:rPr>
          <w:rFonts w:hint="eastAsia"/>
          <w:color w:val="auto"/>
          <w:lang w:eastAsia="zh-CN"/>
        </w:rPr>
        <w:t>加强高边坡项目勘察设计质量管控</w:t>
      </w:r>
    </w:p>
    <w:p w14:paraId="1A44EE87">
      <w:pPr>
        <w:overflowPunct w:val="0"/>
        <w:ind w:firstLine="632"/>
        <w:rPr>
          <w:color w:val="auto"/>
        </w:rPr>
      </w:pPr>
      <w:r>
        <w:rPr>
          <w:rFonts w:hint="eastAsia"/>
          <w:color w:val="auto"/>
        </w:rPr>
        <w:t>（一）主体建设工程规划方案设计确定后，其高边坡项目应一并进行工程地质详细勘察。</w:t>
      </w:r>
    </w:p>
    <w:p w14:paraId="5BCFEF6C">
      <w:pPr>
        <w:overflowPunct w:val="0"/>
        <w:ind w:firstLine="632"/>
        <w:rPr>
          <w:rFonts w:hint="eastAsia"/>
          <w:color w:val="auto"/>
          <w:lang w:eastAsia="zh-CN"/>
        </w:rPr>
      </w:pPr>
      <w:r>
        <w:rPr>
          <w:rFonts w:hint="eastAsia"/>
          <w:color w:val="auto"/>
        </w:rPr>
        <w:t>（二）高边坡项目设计</w:t>
      </w:r>
      <w:r>
        <w:rPr>
          <w:rFonts w:hint="eastAsia"/>
          <w:color w:val="auto"/>
          <w:lang w:eastAsia="zh-CN"/>
        </w:rPr>
        <w:t>应</w:t>
      </w:r>
      <w:r>
        <w:rPr>
          <w:rFonts w:hint="eastAsia"/>
          <w:color w:val="auto"/>
        </w:rPr>
        <w:t>以工程地质详细勘察为依据，按方案设计、施工图设计两个阶段进行，分别在主体建设工程初步设计、施工图设计之前开展</w:t>
      </w:r>
      <w:r>
        <w:rPr>
          <w:rFonts w:hint="eastAsia"/>
          <w:color w:val="auto"/>
          <w:lang w:eastAsia="zh-CN"/>
        </w:rPr>
        <w:t>；按规定不进行初步设计审批的，应在</w:t>
      </w:r>
      <w:r>
        <w:rPr>
          <w:rFonts w:hint="eastAsia"/>
          <w:color w:val="auto"/>
        </w:rPr>
        <w:t>主体建设工程</w:t>
      </w:r>
      <w:r>
        <w:rPr>
          <w:rFonts w:hint="eastAsia"/>
          <w:color w:val="auto"/>
          <w:lang w:val="en-US" w:eastAsia="zh-CN"/>
        </w:rPr>
        <w:t>施工图设计</w:t>
      </w:r>
      <w:r>
        <w:rPr>
          <w:rFonts w:hint="eastAsia"/>
          <w:color w:val="auto"/>
          <w:lang w:eastAsia="zh-CN"/>
        </w:rPr>
        <w:t>之前开展。</w:t>
      </w:r>
    </w:p>
    <w:p w14:paraId="637D47CC">
      <w:pPr>
        <w:overflowPunct w:val="0"/>
        <w:ind w:firstLine="632"/>
        <w:rPr>
          <w:color w:val="auto"/>
        </w:rPr>
      </w:pPr>
      <w:r>
        <w:rPr>
          <w:rFonts w:hint="eastAsia"/>
          <w:color w:val="auto"/>
        </w:rPr>
        <w:t>（三）高边坡项目方案设计完成后，应提交施工图审查机构进行可行性评估，其可行性评估报告作为高边坡项目施工图设计文件，以及主体建设工程初步设计文件、施工图设计文件编制与审查的依据。</w:t>
      </w:r>
    </w:p>
    <w:p w14:paraId="3C0B74B7">
      <w:pPr>
        <w:overflowPunct w:val="0"/>
        <w:ind w:firstLine="632"/>
        <w:rPr>
          <w:color w:val="auto"/>
        </w:rPr>
      </w:pPr>
      <w:r>
        <w:rPr>
          <w:rFonts w:hint="eastAsia"/>
          <w:color w:val="auto"/>
        </w:rPr>
        <w:t>（四）高边坡项目施工图设计完成后，应提交承担可行性评估的施工图审查机构进行审查，通过后出具高边坡项目施工图设计审查合格书。</w:t>
      </w:r>
    </w:p>
    <w:p w14:paraId="179ED184">
      <w:pPr>
        <w:overflowPunct w:val="0"/>
        <w:ind w:firstLine="632"/>
        <w:rPr>
          <w:color w:val="auto"/>
        </w:rPr>
      </w:pPr>
      <w:r>
        <w:rPr>
          <w:rFonts w:hint="eastAsia"/>
          <w:color w:val="auto"/>
        </w:rPr>
        <w:t>（五）下列高边坡项目方案设计完成后，建设单位</w:t>
      </w:r>
      <w:r>
        <w:rPr>
          <w:color w:val="auto"/>
        </w:rPr>
        <w:t>应</w:t>
      </w:r>
      <w:r>
        <w:rPr>
          <w:rFonts w:hint="eastAsia"/>
          <w:color w:val="auto"/>
        </w:rPr>
        <w:t>组织专家现场踏勘，并进行方案设计安全专项论证。参与论证的专家应具有10年以上的高边坡项目设计经历并具有注册土木工程师（岩土）或一级注册结构工程师资格，总人数为5名（其中岩土工程专家不少于3名）及以上的单数。安全专项论证意见应作为高边坡项目方案设计可行性评估、施工图设计</w:t>
      </w:r>
      <w:r>
        <w:rPr>
          <w:rFonts w:hint="eastAsia"/>
          <w:color w:val="auto"/>
          <w:lang w:eastAsia="zh-CN"/>
        </w:rPr>
        <w:t>文件编制与</w:t>
      </w:r>
      <w:r>
        <w:rPr>
          <w:rFonts w:hint="eastAsia"/>
          <w:color w:val="auto"/>
        </w:rPr>
        <w:t>审查的依据。</w:t>
      </w:r>
    </w:p>
    <w:p w14:paraId="79467AFE">
      <w:pPr>
        <w:overflowPunct w:val="0"/>
        <w:ind w:firstLine="632"/>
        <w:rPr>
          <w:color w:val="auto"/>
        </w:rPr>
      </w:pPr>
      <w:r>
        <w:rPr>
          <w:rFonts w:hint="eastAsia"/>
          <w:color w:val="auto"/>
        </w:rPr>
        <w:t>1．高切坡：岩质边坡高度≥30米；岩土混合边坡高度≥25米且土层厚度≥4米；土质边坡高度≥15米。</w:t>
      </w:r>
    </w:p>
    <w:p w14:paraId="1C5FE7A6">
      <w:pPr>
        <w:overflowPunct w:val="0"/>
        <w:ind w:firstLine="632"/>
        <w:rPr>
          <w:color w:val="auto"/>
        </w:rPr>
      </w:pPr>
      <w:r>
        <w:rPr>
          <w:rFonts w:hint="eastAsia"/>
          <w:color w:val="auto"/>
        </w:rPr>
        <w:t>2．深基坑：岩质基坑高度≥15米；岩土混合基坑高度≥12米且土层厚度≥4米；土质基坑高度≥8米。</w:t>
      </w:r>
    </w:p>
    <w:p w14:paraId="73A706A4">
      <w:pPr>
        <w:overflowPunct w:val="0"/>
        <w:ind w:firstLine="632"/>
        <w:rPr>
          <w:color w:val="auto"/>
        </w:rPr>
      </w:pPr>
      <w:r>
        <w:rPr>
          <w:rFonts w:hint="eastAsia"/>
          <w:color w:val="auto"/>
        </w:rPr>
        <w:t>3．高填方：填方边坡高度≥12米。</w:t>
      </w:r>
    </w:p>
    <w:p w14:paraId="64D8111E">
      <w:pPr>
        <w:overflowPunct w:val="0"/>
        <w:ind w:firstLine="632"/>
        <w:rPr>
          <w:color w:val="auto"/>
        </w:rPr>
      </w:pPr>
      <w:r>
        <w:rPr>
          <w:rFonts w:hint="eastAsia"/>
          <w:color w:val="auto"/>
        </w:rPr>
        <w:t>4．曾发生质量安全事故、需加固处理、采用新结构或新技术的高边坡项目。</w:t>
      </w:r>
    </w:p>
    <w:p w14:paraId="7947C57F">
      <w:pPr>
        <w:pStyle w:val="2"/>
        <w:overflowPunct w:val="0"/>
        <w:ind w:firstLine="632"/>
        <w:rPr>
          <w:color w:val="auto"/>
        </w:rPr>
      </w:pPr>
      <w:r>
        <w:rPr>
          <w:color w:val="auto"/>
        </w:rPr>
        <w:t>三、</w:t>
      </w:r>
      <w:r>
        <w:rPr>
          <w:rFonts w:hint="eastAsia"/>
          <w:color w:val="auto"/>
          <w:lang w:eastAsia="zh-CN"/>
        </w:rPr>
        <w:t>强化资质资格管理</w:t>
      </w:r>
    </w:p>
    <w:p w14:paraId="11838F80">
      <w:pPr>
        <w:overflowPunct w:val="0"/>
        <w:ind w:firstLine="632"/>
        <w:rPr>
          <w:color w:val="auto"/>
        </w:rPr>
      </w:pPr>
      <w:r>
        <w:rPr>
          <w:rFonts w:hint="eastAsia"/>
          <w:color w:val="auto"/>
        </w:rPr>
        <w:t>（一）各勘察设计单位应在勘察设计资质等级许可的范围内承揽主体建设工程及高边坡项目勘察、设计业务，并对勘察、设计文件的质量负责。</w:t>
      </w:r>
    </w:p>
    <w:p w14:paraId="41362733">
      <w:pPr>
        <w:overflowPunct w:val="0"/>
        <w:ind w:firstLine="632"/>
        <w:rPr>
          <w:color w:val="auto"/>
        </w:rPr>
      </w:pPr>
      <w:r>
        <w:rPr>
          <w:rFonts w:hint="eastAsia"/>
          <w:color w:val="auto"/>
        </w:rPr>
        <w:t>（二）市外勘察设计单位在入渝承接高边坡项目业务前，应按照《</w:t>
      </w:r>
      <w:bookmarkStart w:id="3" w:name="OLE_LINK2"/>
      <w:r>
        <w:rPr>
          <w:rFonts w:hint="eastAsia"/>
          <w:color w:val="auto"/>
        </w:rPr>
        <w:t>重庆市市外勘察设计企业入渝信息报送和动态管理办法</w:t>
      </w:r>
      <w:bookmarkEnd w:id="3"/>
      <w:r>
        <w:rPr>
          <w:rFonts w:hint="eastAsia"/>
          <w:color w:val="auto"/>
        </w:rPr>
        <w:t>》有关规定，完成市外勘察设计企业信息报送。</w:t>
      </w:r>
    </w:p>
    <w:p w14:paraId="2554A431">
      <w:pPr>
        <w:overflowPunct w:val="0"/>
        <w:ind w:firstLine="632"/>
        <w:rPr>
          <w:color w:val="auto"/>
        </w:rPr>
      </w:pPr>
      <w:r>
        <w:rPr>
          <w:rFonts w:hint="eastAsia"/>
          <w:color w:val="auto"/>
        </w:rPr>
        <w:t>（三）</w:t>
      </w:r>
      <w:bookmarkStart w:id="4" w:name="OLE_LINK11"/>
      <w:bookmarkStart w:id="5" w:name="OLE_LINK12"/>
      <w:r>
        <w:rPr>
          <w:rFonts w:hint="eastAsia"/>
          <w:color w:val="auto"/>
        </w:rPr>
        <w:t>高边坡项目地质勘察报告审查、方案设计可行性评估及施工图设计</w:t>
      </w:r>
      <w:r>
        <w:rPr>
          <w:rFonts w:hint="eastAsia"/>
          <w:color w:val="auto"/>
          <w:lang w:eastAsia="zh-CN"/>
        </w:rPr>
        <w:t>文件</w:t>
      </w:r>
      <w:r>
        <w:rPr>
          <w:rFonts w:hint="eastAsia"/>
          <w:color w:val="auto"/>
        </w:rPr>
        <w:t>审查</w:t>
      </w:r>
      <w:bookmarkEnd w:id="4"/>
      <w:bookmarkEnd w:id="5"/>
      <w:r>
        <w:rPr>
          <w:rFonts w:hint="eastAsia"/>
          <w:color w:val="auto"/>
        </w:rPr>
        <w:t>应由</w:t>
      </w:r>
      <w:r>
        <w:rPr>
          <w:rFonts w:hint="eastAsia" w:eastAsia="方正仿宋_GBK" w:cstheme="minorBidi"/>
          <w:bCs w:val="0"/>
          <w:color w:val="auto"/>
          <w:sz w:val="32"/>
          <w:szCs w:val="22"/>
          <w:highlight w:val="none"/>
        </w:rPr>
        <w:t>相应的</w:t>
      </w:r>
      <w:r>
        <w:rPr>
          <w:rFonts w:hint="eastAsia"/>
          <w:color w:val="auto"/>
        </w:rPr>
        <w:t>一类施工图审查机构承担。</w:t>
      </w:r>
    </w:p>
    <w:p w14:paraId="76CF78FF">
      <w:pPr>
        <w:overflowPunct w:val="0"/>
        <w:ind w:firstLine="632"/>
        <w:rPr>
          <w:color w:val="auto"/>
        </w:rPr>
      </w:pPr>
      <w:r>
        <w:rPr>
          <w:rFonts w:hint="eastAsia"/>
          <w:color w:val="auto"/>
        </w:rPr>
        <w:t>（四）担任高边坡项目勘察及勘察文件审查工作的项目负责人及其审查人员应具备注册土木工程师（岩土）资格并具有高级工程师职称；担任高边坡项目设计、可行性评估及施工图设计</w:t>
      </w:r>
      <w:r>
        <w:rPr>
          <w:rFonts w:hint="eastAsia"/>
          <w:color w:val="auto"/>
          <w:lang w:eastAsia="zh-CN"/>
        </w:rPr>
        <w:t>文件</w:t>
      </w:r>
      <w:r>
        <w:rPr>
          <w:rFonts w:hint="eastAsia"/>
          <w:color w:val="auto"/>
        </w:rPr>
        <w:t>审查的项目负责人及审查人员应具备注册土木工程师（岩土）或一级注册结构工程师资格并具有高级工程师职称。</w:t>
      </w:r>
    </w:p>
    <w:p w14:paraId="46CC4F68">
      <w:pPr>
        <w:pStyle w:val="2"/>
        <w:overflowPunct w:val="0"/>
        <w:ind w:firstLine="632"/>
        <w:rPr>
          <w:rFonts w:hint="eastAsia"/>
          <w:color w:val="auto"/>
        </w:rPr>
      </w:pPr>
      <w:r>
        <w:rPr>
          <w:color w:val="auto"/>
        </w:rPr>
        <w:t>四、</w:t>
      </w:r>
      <w:r>
        <w:rPr>
          <w:rFonts w:hint="eastAsia"/>
          <w:color w:val="auto"/>
          <w:lang w:eastAsia="zh-CN"/>
        </w:rPr>
        <w:t>严格</w:t>
      </w:r>
      <w:r>
        <w:rPr>
          <w:rFonts w:hint="eastAsia"/>
          <w:color w:val="auto"/>
        </w:rPr>
        <w:t>责任落实与监督管理</w:t>
      </w:r>
    </w:p>
    <w:p w14:paraId="7CEE61B2">
      <w:pPr>
        <w:overflowPunct w:val="0"/>
        <w:ind w:firstLine="632"/>
        <w:rPr>
          <w:color w:val="auto"/>
          <w:szCs w:val="32"/>
        </w:rPr>
      </w:pPr>
      <w:bookmarkStart w:id="6" w:name="OLE_LINK20"/>
      <w:bookmarkStart w:id="7" w:name="OLE_LINK19"/>
      <w:r>
        <w:rPr>
          <w:rFonts w:hint="eastAsia"/>
          <w:color w:val="auto"/>
        </w:rPr>
        <w:t>（一）</w:t>
      </w:r>
      <w:r>
        <w:rPr>
          <w:rFonts w:hint="eastAsia"/>
          <w:color w:val="auto"/>
          <w:szCs w:val="32"/>
        </w:rPr>
        <w:t>建设单位对</w:t>
      </w:r>
      <w:r>
        <w:rPr>
          <w:rFonts w:hint="eastAsia"/>
          <w:color w:val="auto"/>
        </w:rPr>
        <w:t>高边坡项目的质量安全</w:t>
      </w:r>
      <w:r>
        <w:rPr>
          <w:rFonts w:hint="eastAsia"/>
          <w:color w:val="auto"/>
          <w:szCs w:val="32"/>
        </w:rPr>
        <w:t>承担首要责任，</w:t>
      </w:r>
      <w:r>
        <w:rPr>
          <w:rFonts w:hint="eastAsia" w:eastAsia="方正仿宋_GBK" w:cstheme="minorBidi"/>
          <w:bCs w:val="0"/>
          <w:color w:val="auto"/>
          <w:sz w:val="32"/>
          <w:szCs w:val="32"/>
        </w:rPr>
        <w:t>依法</w:t>
      </w:r>
      <w:r>
        <w:rPr>
          <w:rFonts w:hint="eastAsia"/>
          <w:color w:val="auto"/>
          <w:szCs w:val="32"/>
        </w:rPr>
        <w:t>组织</w:t>
      </w:r>
      <w:r>
        <w:rPr>
          <w:rFonts w:hint="eastAsia" w:eastAsia="方正仿宋_GBK" w:cstheme="minorBidi"/>
          <w:bCs w:val="0"/>
          <w:color w:val="auto"/>
          <w:sz w:val="32"/>
          <w:szCs w:val="32"/>
        </w:rPr>
        <w:t>建设，全面履行管理职责</w:t>
      </w:r>
      <w:r>
        <w:rPr>
          <w:rFonts w:hint="eastAsia"/>
          <w:color w:val="auto"/>
          <w:szCs w:val="32"/>
        </w:rPr>
        <w:t>。</w:t>
      </w:r>
      <w:r>
        <w:rPr>
          <w:rFonts w:hint="eastAsia" w:eastAsia="方正仿宋_GBK" w:cstheme="minorBidi"/>
          <w:bCs w:val="0"/>
          <w:color w:val="auto"/>
          <w:sz w:val="32"/>
          <w:szCs w:val="32"/>
        </w:rPr>
        <w:t>勘察、设计单位必须按照工程建设强制性标准进行勘察、设计，并对</w:t>
      </w:r>
      <w:r>
        <w:rPr>
          <w:rFonts w:hint="eastAsia"/>
          <w:color w:val="auto"/>
        </w:rPr>
        <w:t>高边坡项目的</w:t>
      </w:r>
      <w:r>
        <w:rPr>
          <w:rFonts w:hint="eastAsia" w:eastAsia="方正仿宋_GBK" w:cstheme="minorBidi"/>
          <w:bCs w:val="0"/>
          <w:color w:val="auto"/>
          <w:sz w:val="32"/>
          <w:szCs w:val="32"/>
        </w:rPr>
        <w:t>勘察、设计质量负责。</w:t>
      </w:r>
      <w:r>
        <w:rPr>
          <w:rFonts w:hint="eastAsia"/>
          <w:color w:val="auto"/>
          <w:szCs w:val="32"/>
        </w:rPr>
        <w:t>施工图审查机构应按照有关法律、法规，开展</w:t>
      </w:r>
      <w:r>
        <w:rPr>
          <w:rFonts w:hint="eastAsia"/>
          <w:color w:val="auto"/>
        </w:rPr>
        <w:t>高边坡项目地质勘察报告审查、方案设计可行性评估及施工图设计</w:t>
      </w:r>
      <w:r>
        <w:rPr>
          <w:rFonts w:hint="eastAsia"/>
          <w:color w:val="auto"/>
          <w:lang w:eastAsia="zh-CN"/>
        </w:rPr>
        <w:t>文件</w:t>
      </w:r>
      <w:r>
        <w:rPr>
          <w:rFonts w:hint="eastAsia"/>
          <w:color w:val="auto"/>
        </w:rPr>
        <w:t>审查，对高边坡项目</w:t>
      </w:r>
      <w:r>
        <w:rPr>
          <w:rFonts w:hint="eastAsia"/>
          <w:color w:val="auto"/>
          <w:highlight w:val="none"/>
        </w:rPr>
        <w:t>安全性进</w:t>
      </w:r>
      <w:r>
        <w:rPr>
          <w:rFonts w:hint="eastAsia"/>
          <w:color w:val="auto"/>
        </w:rPr>
        <w:t>行严格把关</w:t>
      </w:r>
      <w:r>
        <w:rPr>
          <w:rFonts w:hint="eastAsia"/>
          <w:color w:val="auto"/>
          <w:szCs w:val="32"/>
        </w:rPr>
        <w:t>，对审查、评估工作负责。</w:t>
      </w:r>
    </w:p>
    <w:p w14:paraId="73BE5817">
      <w:pPr>
        <w:overflowPunct w:val="0"/>
        <w:ind w:firstLine="632"/>
        <w:rPr>
          <w:color w:val="auto"/>
        </w:rPr>
      </w:pPr>
      <w:r>
        <w:rPr>
          <w:rFonts w:hint="eastAsia"/>
          <w:color w:val="auto"/>
        </w:rPr>
        <w:t>（二）各勘察、设计单位应切实做好高边坡项目的技术交底和施工过程技术服务工作，不得将勘察设计中间资料作为高边坡项目设计、施工的依据。施工过程中，若实际情况与勘察、设计情况不符或出现异常，建设单位应及时组织勘察、设计等相关单位研究解决。</w:t>
      </w:r>
    </w:p>
    <w:p w14:paraId="33A11451">
      <w:pPr>
        <w:widowControl/>
        <w:shd w:val="clear" w:color="auto" w:fill="FFFFFF"/>
        <w:overflowPunct w:val="0"/>
        <w:spacing w:line="240" w:lineRule="auto"/>
        <w:ind w:firstLine="632"/>
        <w:jc w:val="left"/>
        <w:rPr>
          <w:color w:val="auto"/>
        </w:rPr>
      </w:pPr>
      <w:r>
        <w:rPr>
          <w:rFonts w:hint="eastAsia"/>
          <w:color w:val="auto"/>
        </w:rPr>
        <w:t>（三）市、区县（自治县）住房城乡建设主管部门应加强对高边坡项目的质量安全监督管理，督促建设单位落实首要责任，督促勘察、设计、施工、监理单位落实主体责任，确保高边坡项目质量安全。</w:t>
      </w:r>
    </w:p>
    <w:p w14:paraId="564CCCED">
      <w:pPr>
        <w:widowControl/>
        <w:shd w:val="clear" w:color="auto" w:fill="auto"/>
        <w:overflowPunct/>
        <w:spacing w:line="240" w:lineRule="auto"/>
        <w:ind w:firstLine="632"/>
        <w:jc w:val="left"/>
        <w:rPr>
          <w:color w:val="auto"/>
        </w:rPr>
      </w:pPr>
      <w:r>
        <w:rPr>
          <w:rFonts w:hint="eastAsia"/>
          <w:color w:val="auto"/>
        </w:rPr>
        <w:t>（四）本</w:t>
      </w:r>
      <w:r>
        <w:rPr>
          <w:color w:val="auto"/>
        </w:rPr>
        <w:t>意见</w:t>
      </w:r>
      <w:r>
        <w:rPr>
          <w:rFonts w:hint="eastAsia"/>
          <w:color w:val="auto"/>
        </w:rPr>
        <w:t>自</w:t>
      </w:r>
      <w:r>
        <w:rPr>
          <w:color w:val="auto"/>
        </w:rPr>
        <w:t>发布之日起</w:t>
      </w:r>
      <w:r>
        <w:rPr>
          <w:rFonts w:hint="eastAsia"/>
          <w:color w:val="auto"/>
        </w:rPr>
        <w:t>施行</w:t>
      </w:r>
      <w:r>
        <w:rPr>
          <w:color w:val="auto"/>
        </w:rPr>
        <w:t>。</w:t>
      </w:r>
      <w:r>
        <w:rPr>
          <w:rFonts w:hint="eastAsia"/>
          <w:color w:val="auto"/>
          <w:lang w:eastAsia="zh-CN"/>
        </w:rPr>
        <w:t>原《重庆市建设委员会关于印发〈进一步规范重庆市高切坡、深开挖、高填方项目管理的若干规定〉的通知》（渝建发</w:t>
      </w:r>
      <w:r>
        <w:rPr>
          <w:rFonts w:hint="eastAsia"/>
          <w:color w:val="auto"/>
        </w:rPr>
        <w:t>〔</w:t>
      </w:r>
      <w:r>
        <w:rPr>
          <w:rFonts w:hint="eastAsia"/>
          <w:color w:val="auto"/>
          <w:lang w:eastAsia="zh-CN"/>
        </w:rPr>
        <w:t>2002</w:t>
      </w:r>
      <w:r>
        <w:rPr>
          <w:rFonts w:hint="eastAsia"/>
          <w:color w:val="auto"/>
        </w:rPr>
        <w:t>〕</w:t>
      </w:r>
      <w:r>
        <w:rPr>
          <w:rFonts w:hint="eastAsia"/>
          <w:color w:val="auto"/>
          <w:lang w:eastAsia="zh-CN"/>
        </w:rPr>
        <w:t>47号）、《重庆市建设委员会关于认真贯彻落实进一步规范重庆市高切坡、深开挖、高填方项目管理的若干规定的通知》（渝建发</w:t>
      </w:r>
      <w:r>
        <w:rPr>
          <w:rFonts w:hint="eastAsia"/>
          <w:color w:val="auto"/>
        </w:rPr>
        <w:t>〔</w:t>
      </w:r>
      <w:r>
        <w:rPr>
          <w:rFonts w:hint="eastAsia"/>
          <w:color w:val="auto"/>
          <w:lang w:eastAsia="zh-CN"/>
        </w:rPr>
        <w:t>2002</w:t>
      </w:r>
      <w:r>
        <w:rPr>
          <w:rFonts w:hint="eastAsia"/>
          <w:color w:val="auto"/>
        </w:rPr>
        <w:t>〕</w:t>
      </w:r>
      <w:r>
        <w:rPr>
          <w:rFonts w:hint="eastAsia"/>
          <w:color w:val="auto"/>
          <w:lang w:eastAsia="zh-CN"/>
        </w:rPr>
        <w:t>76号）、</w:t>
      </w:r>
      <w:r>
        <w:rPr>
          <w:rFonts w:hint="eastAsia" w:ascii="Times New Roman" w:hAnsi="Times New Roman" w:eastAsia="方正仿宋_GBK" w:cstheme="minorBidi"/>
          <w:i w:val="0"/>
          <w:iCs w:val="0"/>
          <w:caps w:val="0"/>
          <w:color w:val="auto"/>
          <w:spacing w:val="0"/>
          <w:sz w:val="32"/>
          <w:szCs w:val="22"/>
          <w:shd w:val="clear"/>
        </w:rPr>
        <w:t>《</w:t>
      </w:r>
      <w:r>
        <w:rPr>
          <w:rFonts w:hint="eastAsia"/>
          <w:color w:val="auto"/>
          <w:lang w:eastAsia="zh-CN"/>
        </w:rPr>
        <w:t>重庆市建设委员会</w:t>
      </w:r>
      <w:r>
        <w:rPr>
          <w:rFonts w:hint="eastAsia" w:ascii="Times New Roman" w:hAnsi="Times New Roman" w:eastAsia="方正仿宋_GBK" w:cstheme="minorBidi"/>
          <w:i w:val="0"/>
          <w:iCs w:val="0"/>
          <w:caps w:val="0"/>
          <w:color w:val="auto"/>
          <w:spacing w:val="0"/>
          <w:sz w:val="32"/>
          <w:szCs w:val="22"/>
          <w:shd w:val="clear"/>
        </w:rPr>
        <w:t>关于高切坡、深开挖项目勘察设计管理的补充通知》（渝建发</w:t>
      </w:r>
      <w:r>
        <w:rPr>
          <w:rFonts w:hint="eastAsia"/>
          <w:color w:val="auto"/>
        </w:rPr>
        <w:t>〔</w:t>
      </w:r>
      <w:r>
        <w:rPr>
          <w:rFonts w:hint="eastAsia" w:ascii="Times New Roman" w:hAnsi="Times New Roman" w:eastAsia="方正仿宋_GBK" w:cstheme="minorBidi"/>
          <w:i w:val="0"/>
          <w:iCs w:val="0"/>
          <w:caps w:val="0"/>
          <w:color w:val="auto"/>
          <w:spacing w:val="0"/>
          <w:sz w:val="32"/>
          <w:szCs w:val="22"/>
          <w:shd w:val="clear"/>
        </w:rPr>
        <w:t>2004</w:t>
      </w:r>
      <w:r>
        <w:rPr>
          <w:rFonts w:hint="eastAsia"/>
          <w:color w:val="auto"/>
        </w:rPr>
        <w:t>〕</w:t>
      </w:r>
      <w:r>
        <w:rPr>
          <w:rFonts w:hint="eastAsia" w:ascii="Times New Roman" w:hAnsi="Times New Roman" w:eastAsia="方正仿宋_GBK" w:cstheme="minorBidi"/>
          <w:i w:val="0"/>
          <w:iCs w:val="0"/>
          <w:caps w:val="0"/>
          <w:color w:val="auto"/>
          <w:spacing w:val="0"/>
          <w:sz w:val="32"/>
          <w:szCs w:val="22"/>
          <w:shd w:val="clear"/>
        </w:rPr>
        <w:t>224号）</w:t>
      </w:r>
      <w:r>
        <w:rPr>
          <w:rFonts w:hint="eastAsia" w:cstheme="minorBidi"/>
          <w:i w:val="0"/>
          <w:iCs w:val="0"/>
          <w:caps w:val="0"/>
          <w:color w:val="auto"/>
          <w:spacing w:val="0"/>
          <w:sz w:val="32"/>
          <w:szCs w:val="22"/>
          <w:shd w:val="clear"/>
          <w:lang w:eastAsia="zh-CN"/>
        </w:rPr>
        <w:t>、</w:t>
      </w:r>
      <w:r>
        <w:rPr>
          <w:rFonts w:hint="eastAsia"/>
          <w:color w:val="auto"/>
        </w:rPr>
        <w:t>《重庆市城乡建设委员会关于进一步加强全市高切坡、深基坑和高填方项目勘察设计管理的意见》（</w:t>
      </w:r>
      <w:r>
        <w:rPr>
          <w:color w:val="auto"/>
        </w:rPr>
        <w:t>渝建</w:t>
      </w:r>
      <w:r>
        <w:rPr>
          <w:rFonts w:hint="eastAsia"/>
          <w:color w:val="auto"/>
        </w:rPr>
        <w:t>发〔20</w:t>
      </w:r>
      <w:r>
        <w:rPr>
          <w:color w:val="auto"/>
        </w:rPr>
        <w:t>1</w:t>
      </w:r>
      <w:r>
        <w:rPr>
          <w:rFonts w:hint="eastAsia"/>
          <w:color w:val="auto"/>
        </w:rPr>
        <w:t>0〕166号）同时废止。</w:t>
      </w:r>
    </w:p>
    <w:bookmarkEnd w:id="0"/>
    <w:bookmarkEnd w:id="1"/>
    <w:bookmarkEnd w:id="2"/>
    <w:bookmarkEnd w:id="6"/>
    <w:bookmarkEnd w:id="7"/>
    <w:p w14:paraId="6E77625A">
      <w:pPr>
        <w:overflowPunct w:val="0"/>
        <w:ind w:firstLine="632"/>
        <w:rPr>
          <w:color w:val="auto"/>
        </w:rPr>
      </w:pPr>
    </w:p>
    <w:p w14:paraId="07829DFD">
      <w:pPr>
        <w:widowControl/>
        <w:overflowPunct/>
        <w:spacing w:line="240" w:lineRule="auto"/>
        <w:ind w:firstLine="0" w:firstLineChars="0"/>
        <w:jc w:val="left"/>
        <w:rPr>
          <w:bCs/>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134" w:gutter="0"/>
      <w:cols w:space="0" w:num="1"/>
      <w:docGrid w:type="linesAndChars" w:linePitch="631"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A9E907-7D3C-4144-B605-F6FAEBD042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8A818A55-479B-46A2-B246-933237DE9720}"/>
  </w:font>
  <w:font w:name="方正黑体_GBK">
    <w:panose1 w:val="03000509000000000000"/>
    <w:charset w:val="86"/>
    <w:family w:val="script"/>
    <w:pitch w:val="default"/>
    <w:sig w:usb0="00000001" w:usb1="080E0000" w:usb2="00000000" w:usb3="00000000" w:csb0="00040000" w:csb1="00000000"/>
    <w:embedRegular r:id="rId3" w:fontKey="{7FC3DF89-A7EB-40D0-84D5-5AF868D2DF4B}"/>
  </w:font>
  <w:font w:name="方正楷体_GBK">
    <w:altName w:val="微软雅黑"/>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5D952B06-6A7D-4874-9A61-88323F58DE51}"/>
  </w:font>
  <w:font w:name="楷体">
    <w:panose1 w:val="02010609060101010101"/>
    <w:charset w:val="86"/>
    <w:family w:val="modern"/>
    <w:pitch w:val="default"/>
    <w:sig w:usb0="800002BF" w:usb1="38CF7CFA" w:usb2="00000016" w:usb3="00000000" w:csb0="00040001" w:csb1="00000000"/>
    <w:embedRegular r:id="rId5" w:fontKey="{EFAB0FBC-34ED-4D23-9544-826F427BACF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D516">
    <w:pPr>
      <w:pStyle w:val="26"/>
      <w:rPr>
        <w:rStyle w:val="27"/>
      </w:rPr>
    </w:pPr>
    <w:r>
      <w:rPr>
        <w:rStyle w:val="27"/>
      </w:rPr>
      <w:t xml:space="preserve">— </w:t>
    </w:r>
    <w:r>
      <w:rPr>
        <w:rStyle w:val="27"/>
      </w:rPr>
      <w:fldChar w:fldCharType="begin"/>
    </w:r>
    <w:r>
      <w:rPr>
        <w:rStyle w:val="27"/>
      </w:rPr>
      <w:instrText xml:space="preserve">PAGE   \* MERGEFORMAT</w:instrText>
    </w:r>
    <w:r>
      <w:rPr>
        <w:rStyle w:val="27"/>
      </w:rPr>
      <w:fldChar w:fldCharType="separate"/>
    </w:r>
    <w:r>
      <w:rPr>
        <w:rStyle w:val="27"/>
        <w:lang w:val="zh-CN"/>
      </w:rPr>
      <w:t>5</w:t>
    </w:r>
    <w:r>
      <w:rPr>
        <w:rStyle w:val="27"/>
      </w:rPr>
      <w:fldChar w:fldCharType="end"/>
    </w:r>
    <w:r>
      <w:rPr>
        <w:rStyle w:val="27"/>
      </w:rPr>
      <w:t>—</w:t>
    </w:r>
  </w:p>
  <w:p w14:paraId="05DE9CDB">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1342A">
    <w:pPr>
      <w:pStyle w:val="8"/>
      <w:spacing w:line="240" w:lineRule="auto"/>
      <w:ind w:left="320" w:leftChars="100" w:firstLine="0" w:firstLineChars="0"/>
      <w:rPr>
        <w:rStyle w:val="29"/>
      </w:rPr>
    </w:pPr>
    <w:r>
      <w:rPr>
        <w:rStyle w:val="29"/>
      </w:rPr>
      <w:t xml:space="preserve">— </w:t>
    </w:r>
    <w:r>
      <w:rPr>
        <w:rStyle w:val="29"/>
      </w:rPr>
      <w:fldChar w:fldCharType="begin"/>
    </w:r>
    <w:r>
      <w:rPr>
        <w:rStyle w:val="29"/>
      </w:rPr>
      <w:instrText xml:space="preserve">PAGE   \* MERGEFORMAT</w:instrText>
    </w:r>
    <w:r>
      <w:rPr>
        <w:rStyle w:val="29"/>
      </w:rPr>
      <w:fldChar w:fldCharType="separate"/>
    </w:r>
    <w:r>
      <w:rPr>
        <w:rStyle w:val="29"/>
        <w:lang w:val="zh-CN"/>
      </w:rPr>
      <w:t>8</w:t>
    </w:r>
    <w:r>
      <w:rPr>
        <w:rStyle w:val="29"/>
      </w:rPr>
      <w:fldChar w:fldCharType="end"/>
    </w:r>
    <w:r>
      <w:rPr>
        <w:rStyle w:val="29"/>
      </w:rPr>
      <w:t>—</w:t>
    </w:r>
  </w:p>
  <w:p w14:paraId="664D2953">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8121">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BADD">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3EA5">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34D8B">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evenAndOddHeaders w:val="1"/>
  <w:drawingGridHorizontalSpacing w:val="158"/>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zU4YzNhYzM5YTM2NDljOTM2YzkxMjc0NjlkNGIifQ=="/>
  </w:docVars>
  <w:rsids>
    <w:rsidRoot w:val="009016A2"/>
    <w:rsid w:val="0000245D"/>
    <w:rsid w:val="0000278E"/>
    <w:rsid w:val="0001128B"/>
    <w:rsid w:val="00022225"/>
    <w:rsid w:val="0002453F"/>
    <w:rsid w:val="00032295"/>
    <w:rsid w:val="0003696A"/>
    <w:rsid w:val="00051EF2"/>
    <w:rsid w:val="000565D5"/>
    <w:rsid w:val="00064C64"/>
    <w:rsid w:val="00075D3B"/>
    <w:rsid w:val="00082483"/>
    <w:rsid w:val="00090752"/>
    <w:rsid w:val="00091B64"/>
    <w:rsid w:val="00097CA6"/>
    <w:rsid w:val="000E2EAC"/>
    <w:rsid w:val="000F0C36"/>
    <w:rsid w:val="000F5163"/>
    <w:rsid w:val="001149AF"/>
    <w:rsid w:val="00125CB1"/>
    <w:rsid w:val="00133F3C"/>
    <w:rsid w:val="001533AF"/>
    <w:rsid w:val="00155C68"/>
    <w:rsid w:val="001574DB"/>
    <w:rsid w:val="00174346"/>
    <w:rsid w:val="00180726"/>
    <w:rsid w:val="00183DFC"/>
    <w:rsid w:val="00193A8B"/>
    <w:rsid w:val="001B7B3C"/>
    <w:rsid w:val="001B7F2F"/>
    <w:rsid w:val="001C454C"/>
    <w:rsid w:val="001C5484"/>
    <w:rsid w:val="001D3691"/>
    <w:rsid w:val="001F172B"/>
    <w:rsid w:val="001F336B"/>
    <w:rsid w:val="001F39BA"/>
    <w:rsid w:val="001F51A4"/>
    <w:rsid w:val="001F5BB0"/>
    <w:rsid w:val="0020162F"/>
    <w:rsid w:val="002027C8"/>
    <w:rsid w:val="00203A4C"/>
    <w:rsid w:val="00204A41"/>
    <w:rsid w:val="00205BA9"/>
    <w:rsid w:val="00210AD4"/>
    <w:rsid w:val="00211478"/>
    <w:rsid w:val="0022360C"/>
    <w:rsid w:val="00235410"/>
    <w:rsid w:val="0023657B"/>
    <w:rsid w:val="00237722"/>
    <w:rsid w:val="002435D2"/>
    <w:rsid w:val="00247196"/>
    <w:rsid w:val="00254923"/>
    <w:rsid w:val="0025613B"/>
    <w:rsid w:val="002629A9"/>
    <w:rsid w:val="002734D5"/>
    <w:rsid w:val="00276203"/>
    <w:rsid w:val="00277864"/>
    <w:rsid w:val="00283BE3"/>
    <w:rsid w:val="002847D5"/>
    <w:rsid w:val="002A704A"/>
    <w:rsid w:val="002A7153"/>
    <w:rsid w:val="002A7B85"/>
    <w:rsid w:val="002B502D"/>
    <w:rsid w:val="002C1576"/>
    <w:rsid w:val="002C2309"/>
    <w:rsid w:val="002C3477"/>
    <w:rsid w:val="002D01D0"/>
    <w:rsid w:val="002E1ADC"/>
    <w:rsid w:val="002F07E1"/>
    <w:rsid w:val="002F6FBB"/>
    <w:rsid w:val="003201F9"/>
    <w:rsid w:val="00326E30"/>
    <w:rsid w:val="0033393A"/>
    <w:rsid w:val="00340A70"/>
    <w:rsid w:val="0034364C"/>
    <w:rsid w:val="00344FEF"/>
    <w:rsid w:val="0034646C"/>
    <w:rsid w:val="00347FB0"/>
    <w:rsid w:val="00365338"/>
    <w:rsid w:val="00366C5B"/>
    <w:rsid w:val="00383FB8"/>
    <w:rsid w:val="00385CC1"/>
    <w:rsid w:val="00390BD5"/>
    <w:rsid w:val="003A156B"/>
    <w:rsid w:val="003A292D"/>
    <w:rsid w:val="003A7C9A"/>
    <w:rsid w:val="003B2FEE"/>
    <w:rsid w:val="003B3F91"/>
    <w:rsid w:val="003B4241"/>
    <w:rsid w:val="003E6007"/>
    <w:rsid w:val="003E64F1"/>
    <w:rsid w:val="003F1E85"/>
    <w:rsid w:val="00402318"/>
    <w:rsid w:val="0041139E"/>
    <w:rsid w:val="00416AF4"/>
    <w:rsid w:val="00422580"/>
    <w:rsid w:val="00427F72"/>
    <w:rsid w:val="00441B94"/>
    <w:rsid w:val="004554E5"/>
    <w:rsid w:val="0046224F"/>
    <w:rsid w:val="004919E4"/>
    <w:rsid w:val="00493314"/>
    <w:rsid w:val="004A54B7"/>
    <w:rsid w:val="004A750C"/>
    <w:rsid w:val="004B3BF0"/>
    <w:rsid w:val="004B3F64"/>
    <w:rsid w:val="004C4B31"/>
    <w:rsid w:val="004C58A8"/>
    <w:rsid w:val="004C7F9C"/>
    <w:rsid w:val="004D0BB8"/>
    <w:rsid w:val="004D230B"/>
    <w:rsid w:val="004D3478"/>
    <w:rsid w:val="004D7B1F"/>
    <w:rsid w:val="004F0CF5"/>
    <w:rsid w:val="00507623"/>
    <w:rsid w:val="00511491"/>
    <w:rsid w:val="005120EE"/>
    <w:rsid w:val="005172CF"/>
    <w:rsid w:val="00517B19"/>
    <w:rsid w:val="005217A0"/>
    <w:rsid w:val="00532FE9"/>
    <w:rsid w:val="00533B5E"/>
    <w:rsid w:val="0053705D"/>
    <w:rsid w:val="00547CCF"/>
    <w:rsid w:val="0055231D"/>
    <w:rsid w:val="005533E7"/>
    <w:rsid w:val="0055557B"/>
    <w:rsid w:val="005558DE"/>
    <w:rsid w:val="00562B1D"/>
    <w:rsid w:val="00581E70"/>
    <w:rsid w:val="005A3403"/>
    <w:rsid w:val="005B1C25"/>
    <w:rsid w:val="005C623D"/>
    <w:rsid w:val="005D0ED6"/>
    <w:rsid w:val="005D4B74"/>
    <w:rsid w:val="005D571F"/>
    <w:rsid w:val="005E6C19"/>
    <w:rsid w:val="005F486A"/>
    <w:rsid w:val="005F7FEC"/>
    <w:rsid w:val="00601A3C"/>
    <w:rsid w:val="00605B18"/>
    <w:rsid w:val="006065F5"/>
    <w:rsid w:val="006118C1"/>
    <w:rsid w:val="00613F86"/>
    <w:rsid w:val="00620E45"/>
    <w:rsid w:val="006245CD"/>
    <w:rsid w:val="0067504F"/>
    <w:rsid w:val="0068550D"/>
    <w:rsid w:val="00692D96"/>
    <w:rsid w:val="006A5CD5"/>
    <w:rsid w:val="006B548A"/>
    <w:rsid w:val="006C5830"/>
    <w:rsid w:val="006C79BA"/>
    <w:rsid w:val="006D01AD"/>
    <w:rsid w:val="006D3302"/>
    <w:rsid w:val="0070772D"/>
    <w:rsid w:val="007150E1"/>
    <w:rsid w:val="0072259F"/>
    <w:rsid w:val="00743499"/>
    <w:rsid w:val="00743EBB"/>
    <w:rsid w:val="007458F3"/>
    <w:rsid w:val="007476A7"/>
    <w:rsid w:val="007633F9"/>
    <w:rsid w:val="00772378"/>
    <w:rsid w:val="0077797E"/>
    <w:rsid w:val="0078461B"/>
    <w:rsid w:val="00793DEB"/>
    <w:rsid w:val="007952FB"/>
    <w:rsid w:val="007A6FC9"/>
    <w:rsid w:val="007A79C0"/>
    <w:rsid w:val="007B242C"/>
    <w:rsid w:val="007C584A"/>
    <w:rsid w:val="007C717F"/>
    <w:rsid w:val="007E1037"/>
    <w:rsid w:val="007F3A08"/>
    <w:rsid w:val="007F55AD"/>
    <w:rsid w:val="007F5CF1"/>
    <w:rsid w:val="00812246"/>
    <w:rsid w:val="008240DA"/>
    <w:rsid w:val="00825FB7"/>
    <w:rsid w:val="00832706"/>
    <w:rsid w:val="00840D12"/>
    <w:rsid w:val="00842429"/>
    <w:rsid w:val="00846A54"/>
    <w:rsid w:val="00847608"/>
    <w:rsid w:val="00847DE1"/>
    <w:rsid w:val="00852AE1"/>
    <w:rsid w:val="00871367"/>
    <w:rsid w:val="00873D9C"/>
    <w:rsid w:val="00876297"/>
    <w:rsid w:val="00880CC7"/>
    <w:rsid w:val="0088277C"/>
    <w:rsid w:val="008A1FF3"/>
    <w:rsid w:val="008A4441"/>
    <w:rsid w:val="008C62EC"/>
    <w:rsid w:val="008E1188"/>
    <w:rsid w:val="008E59C4"/>
    <w:rsid w:val="008F50AF"/>
    <w:rsid w:val="009016A2"/>
    <w:rsid w:val="009021D2"/>
    <w:rsid w:val="0090492C"/>
    <w:rsid w:val="00910B3A"/>
    <w:rsid w:val="00911B2C"/>
    <w:rsid w:val="00920D2F"/>
    <w:rsid w:val="00930B22"/>
    <w:rsid w:val="00937A8D"/>
    <w:rsid w:val="00941C53"/>
    <w:rsid w:val="0095184B"/>
    <w:rsid w:val="0095629A"/>
    <w:rsid w:val="00956949"/>
    <w:rsid w:val="00961448"/>
    <w:rsid w:val="009667F1"/>
    <w:rsid w:val="0097415E"/>
    <w:rsid w:val="00977205"/>
    <w:rsid w:val="00982AFC"/>
    <w:rsid w:val="00983BD2"/>
    <w:rsid w:val="00986DD3"/>
    <w:rsid w:val="00992047"/>
    <w:rsid w:val="009B370F"/>
    <w:rsid w:val="009C0530"/>
    <w:rsid w:val="009D32DE"/>
    <w:rsid w:val="009E1B99"/>
    <w:rsid w:val="009F7104"/>
    <w:rsid w:val="00A01266"/>
    <w:rsid w:val="00A04D44"/>
    <w:rsid w:val="00A12604"/>
    <w:rsid w:val="00A13720"/>
    <w:rsid w:val="00A13EC7"/>
    <w:rsid w:val="00A27A0F"/>
    <w:rsid w:val="00A31E78"/>
    <w:rsid w:val="00A3464A"/>
    <w:rsid w:val="00A36942"/>
    <w:rsid w:val="00A4462E"/>
    <w:rsid w:val="00A5139D"/>
    <w:rsid w:val="00A54FC8"/>
    <w:rsid w:val="00A56B2B"/>
    <w:rsid w:val="00A646C3"/>
    <w:rsid w:val="00A701D7"/>
    <w:rsid w:val="00A70D71"/>
    <w:rsid w:val="00A7774A"/>
    <w:rsid w:val="00A816B5"/>
    <w:rsid w:val="00AA5AAE"/>
    <w:rsid w:val="00AB2FCF"/>
    <w:rsid w:val="00AC30B8"/>
    <w:rsid w:val="00AD45BF"/>
    <w:rsid w:val="00B240DF"/>
    <w:rsid w:val="00B24252"/>
    <w:rsid w:val="00B26616"/>
    <w:rsid w:val="00B32EF5"/>
    <w:rsid w:val="00B35638"/>
    <w:rsid w:val="00B37884"/>
    <w:rsid w:val="00B47F2D"/>
    <w:rsid w:val="00B53CC7"/>
    <w:rsid w:val="00B5443F"/>
    <w:rsid w:val="00B90151"/>
    <w:rsid w:val="00BB06F2"/>
    <w:rsid w:val="00BB1D26"/>
    <w:rsid w:val="00BB3E7E"/>
    <w:rsid w:val="00BB7597"/>
    <w:rsid w:val="00BD3CD8"/>
    <w:rsid w:val="00BD41E1"/>
    <w:rsid w:val="00BE14D3"/>
    <w:rsid w:val="00BF3B8F"/>
    <w:rsid w:val="00C2212C"/>
    <w:rsid w:val="00C27A30"/>
    <w:rsid w:val="00C343CA"/>
    <w:rsid w:val="00C407D7"/>
    <w:rsid w:val="00C4100A"/>
    <w:rsid w:val="00C4642B"/>
    <w:rsid w:val="00C53D11"/>
    <w:rsid w:val="00C53FD3"/>
    <w:rsid w:val="00C557E6"/>
    <w:rsid w:val="00C6247C"/>
    <w:rsid w:val="00C72DB6"/>
    <w:rsid w:val="00C7590C"/>
    <w:rsid w:val="00C852B3"/>
    <w:rsid w:val="00C91C98"/>
    <w:rsid w:val="00CB067D"/>
    <w:rsid w:val="00CB0EBF"/>
    <w:rsid w:val="00CC1E3B"/>
    <w:rsid w:val="00CD19C3"/>
    <w:rsid w:val="00CD22D3"/>
    <w:rsid w:val="00CF5FB2"/>
    <w:rsid w:val="00D24FB0"/>
    <w:rsid w:val="00D34245"/>
    <w:rsid w:val="00D46327"/>
    <w:rsid w:val="00D53A2B"/>
    <w:rsid w:val="00D65312"/>
    <w:rsid w:val="00D70FF7"/>
    <w:rsid w:val="00D728BB"/>
    <w:rsid w:val="00D75FBC"/>
    <w:rsid w:val="00D81BF2"/>
    <w:rsid w:val="00D85EA7"/>
    <w:rsid w:val="00D926C6"/>
    <w:rsid w:val="00DB63D8"/>
    <w:rsid w:val="00DC5465"/>
    <w:rsid w:val="00DC7982"/>
    <w:rsid w:val="00DC7C15"/>
    <w:rsid w:val="00DD017E"/>
    <w:rsid w:val="00DF457A"/>
    <w:rsid w:val="00E10917"/>
    <w:rsid w:val="00E15B1E"/>
    <w:rsid w:val="00E254F4"/>
    <w:rsid w:val="00E36D28"/>
    <w:rsid w:val="00E53E0B"/>
    <w:rsid w:val="00E56EA8"/>
    <w:rsid w:val="00E61ADE"/>
    <w:rsid w:val="00E63EFB"/>
    <w:rsid w:val="00E64B16"/>
    <w:rsid w:val="00E658F9"/>
    <w:rsid w:val="00E66B75"/>
    <w:rsid w:val="00E70BE5"/>
    <w:rsid w:val="00E75067"/>
    <w:rsid w:val="00E7770D"/>
    <w:rsid w:val="00E7785D"/>
    <w:rsid w:val="00E85F46"/>
    <w:rsid w:val="00EA068F"/>
    <w:rsid w:val="00EB5641"/>
    <w:rsid w:val="00ED05C3"/>
    <w:rsid w:val="00ED19CD"/>
    <w:rsid w:val="00ED3D89"/>
    <w:rsid w:val="00EE5152"/>
    <w:rsid w:val="00EE554E"/>
    <w:rsid w:val="00EE646D"/>
    <w:rsid w:val="00EF432E"/>
    <w:rsid w:val="00EF5DF1"/>
    <w:rsid w:val="00F00088"/>
    <w:rsid w:val="00F01D7B"/>
    <w:rsid w:val="00F05A17"/>
    <w:rsid w:val="00F073B2"/>
    <w:rsid w:val="00F12E0D"/>
    <w:rsid w:val="00F15B5C"/>
    <w:rsid w:val="00F204AD"/>
    <w:rsid w:val="00F233E5"/>
    <w:rsid w:val="00F24723"/>
    <w:rsid w:val="00F31481"/>
    <w:rsid w:val="00F31DB1"/>
    <w:rsid w:val="00F51FAC"/>
    <w:rsid w:val="00F54C3D"/>
    <w:rsid w:val="00F711E8"/>
    <w:rsid w:val="00F8365B"/>
    <w:rsid w:val="00F95160"/>
    <w:rsid w:val="00FA3BF9"/>
    <w:rsid w:val="00FB206D"/>
    <w:rsid w:val="00FB68A6"/>
    <w:rsid w:val="00FC173E"/>
    <w:rsid w:val="00FC5A79"/>
    <w:rsid w:val="00FD6E2A"/>
    <w:rsid w:val="01893391"/>
    <w:rsid w:val="018D0F17"/>
    <w:rsid w:val="01E274B5"/>
    <w:rsid w:val="01F64D0F"/>
    <w:rsid w:val="0204742C"/>
    <w:rsid w:val="02065242"/>
    <w:rsid w:val="024261A6"/>
    <w:rsid w:val="026B3007"/>
    <w:rsid w:val="02775E4F"/>
    <w:rsid w:val="028230DE"/>
    <w:rsid w:val="02AE55E9"/>
    <w:rsid w:val="02D84414"/>
    <w:rsid w:val="031C07A5"/>
    <w:rsid w:val="036412FD"/>
    <w:rsid w:val="0378292B"/>
    <w:rsid w:val="03932C4D"/>
    <w:rsid w:val="039842CF"/>
    <w:rsid w:val="03D03E03"/>
    <w:rsid w:val="03EF5EB9"/>
    <w:rsid w:val="04260793"/>
    <w:rsid w:val="04A01725"/>
    <w:rsid w:val="04C609C8"/>
    <w:rsid w:val="053A61AB"/>
    <w:rsid w:val="05A766D5"/>
    <w:rsid w:val="05E117EC"/>
    <w:rsid w:val="05FBF25B"/>
    <w:rsid w:val="063F4ED6"/>
    <w:rsid w:val="06862B05"/>
    <w:rsid w:val="06BA630B"/>
    <w:rsid w:val="07433EDE"/>
    <w:rsid w:val="074E5322"/>
    <w:rsid w:val="077F09B1"/>
    <w:rsid w:val="07D02A58"/>
    <w:rsid w:val="07EE2F85"/>
    <w:rsid w:val="08181E21"/>
    <w:rsid w:val="0885360A"/>
    <w:rsid w:val="089E6732"/>
    <w:rsid w:val="08E6156B"/>
    <w:rsid w:val="08FA50E4"/>
    <w:rsid w:val="093A3733"/>
    <w:rsid w:val="0946032A"/>
    <w:rsid w:val="096B1B3E"/>
    <w:rsid w:val="09A6153F"/>
    <w:rsid w:val="09DB3BBB"/>
    <w:rsid w:val="0A290CED"/>
    <w:rsid w:val="0A482EEB"/>
    <w:rsid w:val="0A724DA4"/>
    <w:rsid w:val="0A870BFA"/>
    <w:rsid w:val="0AB539B9"/>
    <w:rsid w:val="0ACF04A9"/>
    <w:rsid w:val="0AD308D0"/>
    <w:rsid w:val="0B435F3E"/>
    <w:rsid w:val="0B444D3D"/>
    <w:rsid w:val="0B446AEB"/>
    <w:rsid w:val="0B582596"/>
    <w:rsid w:val="0B7B48CE"/>
    <w:rsid w:val="0B8200F3"/>
    <w:rsid w:val="0B882E7B"/>
    <w:rsid w:val="0B9119BC"/>
    <w:rsid w:val="0B9F10B2"/>
    <w:rsid w:val="0C14470F"/>
    <w:rsid w:val="0C7E54E8"/>
    <w:rsid w:val="0C8353F1"/>
    <w:rsid w:val="0CFA1B57"/>
    <w:rsid w:val="0CFD5F93"/>
    <w:rsid w:val="0D97330A"/>
    <w:rsid w:val="0DB537F4"/>
    <w:rsid w:val="0DFA5B87"/>
    <w:rsid w:val="0E3E39B4"/>
    <w:rsid w:val="0E663E6E"/>
    <w:rsid w:val="0E912047"/>
    <w:rsid w:val="0F184516"/>
    <w:rsid w:val="0F2E3D3A"/>
    <w:rsid w:val="0F774B37"/>
    <w:rsid w:val="0F8B3EED"/>
    <w:rsid w:val="0FC36630"/>
    <w:rsid w:val="0FD27AC8"/>
    <w:rsid w:val="105C59B7"/>
    <w:rsid w:val="10B7227A"/>
    <w:rsid w:val="10D34B99"/>
    <w:rsid w:val="110B3F03"/>
    <w:rsid w:val="112F5DC6"/>
    <w:rsid w:val="11483D68"/>
    <w:rsid w:val="114B1556"/>
    <w:rsid w:val="115C505F"/>
    <w:rsid w:val="117B2B3A"/>
    <w:rsid w:val="11836198"/>
    <w:rsid w:val="11A007F3"/>
    <w:rsid w:val="11B1300C"/>
    <w:rsid w:val="11B524F0"/>
    <w:rsid w:val="11DF756D"/>
    <w:rsid w:val="11E319E8"/>
    <w:rsid w:val="12135469"/>
    <w:rsid w:val="1214532F"/>
    <w:rsid w:val="126A32DB"/>
    <w:rsid w:val="126C148D"/>
    <w:rsid w:val="12741EB3"/>
    <w:rsid w:val="128B4FFF"/>
    <w:rsid w:val="12BC340B"/>
    <w:rsid w:val="12CA4A00"/>
    <w:rsid w:val="12D8534B"/>
    <w:rsid w:val="12DF7561"/>
    <w:rsid w:val="13031039"/>
    <w:rsid w:val="130628D8"/>
    <w:rsid w:val="13125E3F"/>
    <w:rsid w:val="131D659F"/>
    <w:rsid w:val="13394A5B"/>
    <w:rsid w:val="13B37ED8"/>
    <w:rsid w:val="13B642FE"/>
    <w:rsid w:val="13C1097A"/>
    <w:rsid w:val="13D03611"/>
    <w:rsid w:val="13F470C5"/>
    <w:rsid w:val="141E3891"/>
    <w:rsid w:val="144946E5"/>
    <w:rsid w:val="145131FA"/>
    <w:rsid w:val="145A2870"/>
    <w:rsid w:val="145B0D83"/>
    <w:rsid w:val="147C10A3"/>
    <w:rsid w:val="14D30D88"/>
    <w:rsid w:val="14DB04C0"/>
    <w:rsid w:val="150C68CB"/>
    <w:rsid w:val="15347BD0"/>
    <w:rsid w:val="15396F94"/>
    <w:rsid w:val="15485429"/>
    <w:rsid w:val="155B33AF"/>
    <w:rsid w:val="16283145"/>
    <w:rsid w:val="16643FB2"/>
    <w:rsid w:val="16695657"/>
    <w:rsid w:val="168E6B0D"/>
    <w:rsid w:val="16A86180"/>
    <w:rsid w:val="16FC1AB8"/>
    <w:rsid w:val="16FC69BD"/>
    <w:rsid w:val="174817BF"/>
    <w:rsid w:val="174912E1"/>
    <w:rsid w:val="17D71A01"/>
    <w:rsid w:val="17E7717C"/>
    <w:rsid w:val="181A12FF"/>
    <w:rsid w:val="181D631F"/>
    <w:rsid w:val="18243FB7"/>
    <w:rsid w:val="186A50E2"/>
    <w:rsid w:val="18717AEB"/>
    <w:rsid w:val="18A4506D"/>
    <w:rsid w:val="18F558C8"/>
    <w:rsid w:val="18F86646"/>
    <w:rsid w:val="19324427"/>
    <w:rsid w:val="19730153"/>
    <w:rsid w:val="1997072D"/>
    <w:rsid w:val="19C5529B"/>
    <w:rsid w:val="19EA650F"/>
    <w:rsid w:val="1AA50C28"/>
    <w:rsid w:val="1ABA46D4"/>
    <w:rsid w:val="1AD05CA5"/>
    <w:rsid w:val="1AD16934"/>
    <w:rsid w:val="1AD80FFE"/>
    <w:rsid w:val="1AFD0A64"/>
    <w:rsid w:val="1B0A7C6C"/>
    <w:rsid w:val="1B50295E"/>
    <w:rsid w:val="1B94434C"/>
    <w:rsid w:val="1BDB0DA5"/>
    <w:rsid w:val="1BF6798D"/>
    <w:rsid w:val="1C2E35CB"/>
    <w:rsid w:val="1C450915"/>
    <w:rsid w:val="1C6574C1"/>
    <w:rsid w:val="1CF739BD"/>
    <w:rsid w:val="1CFD4D4B"/>
    <w:rsid w:val="1D3E218A"/>
    <w:rsid w:val="1D65301C"/>
    <w:rsid w:val="1DA014D7"/>
    <w:rsid w:val="1DB93368"/>
    <w:rsid w:val="1DBE44DB"/>
    <w:rsid w:val="1E2527AC"/>
    <w:rsid w:val="1E76570A"/>
    <w:rsid w:val="1EA932A4"/>
    <w:rsid w:val="1ED91473"/>
    <w:rsid w:val="1F262338"/>
    <w:rsid w:val="1F4A5893"/>
    <w:rsid w:val="1F585CFC"/>
    <w:rsid w:val="1F6B41EE"/>
    <w:rsid w:val="1F7E2174"/>
    <w:rsid w:val="1FB5641E"/>
    <w:rsid w:val="1FCD5CBB"/>
    <w:rsid w:val="1FDE2C12"/>
    <w:rsid w:val="20144886"/>
    <w:rsid w:val="20232D1B"/>
    <w:rsid w:val="20444CF5"/>
    <w:rsid w:val="204A0B08"/>
    <w:rsid w:val="20665712"/>
    <w:rsid w:val="2102791E"/>
    <w:rsid w:val="21437893"/>
    <w:rsid w:val="216C3924"/>
    <w:rsid w:val="21790D58"/>
    <w:rsid w:val="21C6614E"/>
    <w:rsid w:val="21DF1CB1"/>
    <w:rsid w:val="2234192D"/>
    <w:rsid w:val="224165DD"/>
    <w:rsid w:val="22554825"/>
    <w:rsid w:val="225C502B"/>
    <w:rsid w:val="22860EA8"/>
    <w:rsid w:val="22B10494"/>
    <w:rsid w:val="22CE3412"/>
    <w:rsid w:val="22E728DD"/>
    <w:rsid w:val="22E86E52"/>
    <w:rsid w:val="231057D9"/>
    <w:rsid w:val="23250B58"/>
    <w:rsid w:val="232B3F5F"/>
    <w:rsid w:val="2338658E"/>
    <w:rsid w:val="239C706C"/>
    <w:rsid w:val="23A14683"/>
    <w:rsid w:val="23A96389"/>
    <w:rsid w:val="23C16AD3"/>
    <w:rsid w:val="23D06371"/>
    <w:rsid w:val="24133DBE"/>
    <w:rsid w:val="24992986"/>
    <w:rsid w:val="24F44C86"/>
    <w:rsid w:val="25191A51"/>
    <w:rsid w:val="253D5128"/>
    <w:rsid w:val="25983863"/>
    <w:rsid w:val="259C4E87"/>
    <w:rsid w:val="25BF34E6"/>
    <w:rsid w:val="25C70C6F"/>
    <w:rsid w:val="25DF5E17"/>
    <w:rsid w:val="25EF7300"/>
    <w:rsid w:val="26013AFE"/>
    <w:rsid w:val="26690C41"/>
    <w:rsid w:val="26744094"/>
    <w:rsid w:val="267442D0"/>
    <w:rsid w:val="271F024D"/>
    <w:rsid w:val="27273C80"/>
    <w:rsid w:val="27637EA1"/>
    <w:rsid w:val="27930786"/>
    <w:rsid w:val="279A0216"/>
    <w:rsid w:val="27CC0015"/>
    <w:rsid w:val="27FD20A3"/>
    <w:rsid w:val="286D2419"/>
    <w:rsid w:val="2890116A"/>
    <w:rsid w:val="28B0060B"/>
    <w:rsid w:val="28DC43AF"/>
    <w:rsid w:val="28FB48E2"/>
    <w:rsid w:val="29127DD1"/>
    <w:rsid w:val="2976035F"/>
    <w:rsid w:val="29785E86"/>
    <w:rsid w:val="29E277A3"/>
    <w:rsid w:val="29E76B67"/>
    <w:rsid w:val="29E96D83"/>
    <w:rsid w:val="2A1840C6"/>
    <w:rsid w:val="2A5A0199"/>
    <w:rsid w:val="2A6603D4"/>
    <w:rsid w:val="2A9071FF"/>
    <w:rsid w:val="2A9B5098"/>
    <w:rsid w:val="2AC375D4"/>
    <w:rsid w:val="2AF74190"/>
    <w:rsid w:val="2B465B0F"/>
    <w:rsid w:val="2B6504C0"/>
    <w:rsid w:val="2BA94A1C"/>
    <w:rsid w:val="2BD22673"/>
    <w:rsid w:val="2C7A2D92"/>
    <w:rsid w:val="2CCE400E"/>
    <w:rsid w:val="2CFC44CE"/>
    <w:rsid w:val="2D55796B"/>
    <w:rsid w:val="2D595CA6"/>
    <w:rsid w:val="2DB15B0A"/>
    <w:rsid w:val="2DB43204"/>
    <w:rsid w:val="2DC93154"/>
    <w:rsid w:val="2DD072B5"/>
    <w:rsid w:val="2E8452CD"/>
    <w:rsid w:val="2EC3472A"/>
    <w:rsid w:val="2EE93382"/>
    <w:rsid w:val="2EEA3285"/>
    <w:rsid w:val="2F0B208D"/>
    <w:rsid w:val="2F601896"/>
    <w:rsid w:val="2FFD1102"/>
    <w:rsid w:val="30E262DA"/>
    <w:rsid w:val="30FF50DE"/>
    <w:rsid w:val="316C3324"/>
    <w:rsid w:val="31A54783"/>
    <w:rsid w:val="31C663D7"/>
    <w:rsid w:val="32202A24"/>
    <w:rsid w:val="32262B7F"/>
    <w:rsid w:val="3232359B"/>
    <w:rsid w:val="323D5EBE"/>
    <w:rsid w:val="32433CF7"/>
    <w:rsid w:val="3244724D"/>
    <w:rsid w:val="3251323D"/>
    <w:rsid w:val="32AC72B2"/>
    <w:rsid w:val="32C91500"/>
    <w:rsid w:val="32D147E3"/>
    <w:rsid w:val="32EB76C8"/>
    <w:rsid w:val="337551E4"/>
    <w:rsid w:val="33D23A93"/>
    <w:rsid w:val="33F40DFB"/>
    <w:rsid w:val="340C5B48"/>
    <w:rsid w:val="341167CA"/>
    <w:rsid w:val="342C61EA"/>
    <w:rsid w:val="344B0644"/>
    <w:rsid w:val="34B37D86"/>
    <w:rsid w:val="34C06933"/>
    <w:rsid w:val="34D46B38"/>
    <w:rsid w:val="34DD7448"/>
    <w:rsid w:val="34EF0FC6"/>
    <w:rsid w:val="35010C8E"/>
    <w:rsid w:val="35357321"/>
    <w:rsid w:val="354A1FFA"/>
    <w:rsid w:val="35683252"/>
    <w:rsid w:val="35776378"/>
    <w:rsid w:val="358F099F"/>
    <w:rsid w:val="35926521"/>
    <w:rsid w:val="35C12962"/>
    <w:rsid w:val="36162CAE"/>
    <w:rsid w:val="36730100"/>
    <w:rsid w:val="368E4F3A"/>
    <w:rsid w:val="36940D18"/>
    <w:rsid w:val="36DB7A54"/>
    <w:rsid w:val="36FB7AB5"/>
    <w:rsid w:val="37300A9A"/>
    <w:rsid w:val="37AE7266"/>
    <w:rsid w:val="37B83A50"/>
    <w:rsid w:val="37DBD9B2"/>
    <w:rsid w:val="3870241E"/>
    <w:rsid w:val="387342EC"/>
    <w:rsid w:val="388F6264"/>
    <w:rsid w:val="38983E4E"/>
    <w:rsid w:val="38B646A3"/>
    <w:rsid w:val="38CE5AC2"/>
    <w:rsid w:val="392E4619"/>
    <w:rsid w:val="39334707"/>
    <w:rsid w:val="39335925"/>
    <w:rsid w:val="39493A7B"/>
    <w:rsid w:val="39700927"/>
    <w:rsid w:val="39C12F16"/>
    <w:rsid w:val="39C54850"/>
    <w:rsid w:val="39CB3D5D"/>
    <w:rsid w:val="39FA48AC"/>
    <w:rsid w:val="3A654204"/>
    <w:rsid w:val="3A830B2E"/>
    <w:rsid w:val="3A9D1931"/>
    <w:rsid w:val="3B2210A7"/>
    <w:rsid w:val="3B456E4D"/>
    <w:rsid w:val="3B715C2B"/>
    <w:rsid w:val="3BE455FD"/>
    <w:rsid w:val="3C3E4D0D"/>
    <w:rsid w:val="3C477C80"/>
    <w:rsid w:val="3C666012"/>
    <w:rsid w:val="3C6B040B"/>
    <w:rsid w:val="3C7D6C45"/>
    <w:rsid w:val="3CD92F92"/>
    <w:rsid w:val="3D0C0967"/>
    <w:rsid w:val="3D39194A"/>
    <w:rsid w:val="3D487517"/>
    <w:rsid w:val="3D874491"/>
    <w:rsid w:val="3E1E6276"/>
    <w:rsid w:val="3E323E18"/>
    <w:rsid w:val="3E364AFD"/>
    <w:rsid w:val="3E4F2F28"/>
    <w:rsid w:val="3E5F0F6A"/>
    <w:rsid w:val="3EDFEBE1"/>
    <w:rsid w:val="3F071A76"/>
    <w:rsid w:val="3F0A6B9E"/>
    <w:rsid w:val="3F2226C4"/>
    <w:rsid w:val="3F2447D9"/>
    <w:rsid w:val="3F292036"/>
    <w:rsid w:val="3F2F0BAF"/>
    <w:rsid w:val="3F4341DE"/>
    <w:rsid w:val="3F6525B0"/>
    <w:rsid w:val="3FA94B93"/>
    <w:rsid w:val="3FD17C46"/>
    <w:rsid w:val="3FD54802"/>
    <w:rsid w:val="408D1DBF"/>
    <w:rsid w:val="409828A3"/>
    <w:rsid w:val="40A4535A"/>
    <w:rsid w:val="40B7508E"/>
    <w:rsid w:val="40D95004"/>
    <w:rsid w:val="40E003A4"/>
    <w:rsid w:val="41893595"/>
    <w:rsid w:val="419378A9"/>
    <w:rsid w:val="41E16D96"/>
    <w:rsid w:val="42675C80"/>
    <w:rsid w:val="429B73D4"/>
    <w:rsid w:val="42B65048"/>
    <w:rsid w:val="42CE5353"/>
    <w:rsid w:val="434A043B"/>
    <w:rsid w:val="43770B04"/>
    <w:rsid w:val="438F40A0"/>
    <w:rsid w:val="43B6162D"/>
    <w:rsid w:val="43BB30E7"/>
    <w:rsid w:val="43D113DC"/>
    <w:rsid w:val="44421112"/>
    <w:rsid w:val="444E4B22"/>
    <w:rsid w:val="44871242"/>
    <w:rsid w:val="448E55A6"/>
    <w:rsid w:val="44A63A8E"/>
    <w:rsid w:val="45132AAF"/>
    <w:rsid w:val="4521123D"/>
    <w:rsid w:val="452251F3"/>
    <w:rsid w:val="45232CF2"/>
    <w:rsid w:val="452D59D0"/>
    <w:rsid w:val="45316E0E"/>
    <w:rsid w:val="45435142"/>
    <w:rsid w:val="45576E3F"/>
    <w:rsid w:val="456168E3"/>
    <w:rsid w:val="45717F01"/>
    <w:rsid w:val="4586581D"/>
    <w:rsid w:val="459F18FB"/>
    <w:rsid w:val="45F14B9E"/>
    <w:rsid w:val="467714A8"/>
    <w:rsid w:val="46830038"/>
    <w:rsid w:val="468518BF"/>
    <w:rsid w:val="469B101B"/>
    <w:rsid w:val="46CA4BB0"/>
    <w:rsid w:val="47046B53"/>
    <w:rsid w:val="476574DD"/>
    <w:rsid w:val="47D127E7"/>
    <w:rsid w:val="47E938E9"/>
    <w:rsid w:val="480A63EB"/>
    <w:rsid w:val="482F10B6"/>
    <w:rsid w:val="48417934"/>
    <w:rsid w:val="485211B4"/>
    <w:rsid w:val="48823F01"/>
    <w:rsid w:val="48890124"/>
    <w:rsid w:val="48A04659"/>
    <w:rsid w:val="48A71E8C"/>
    <w:rsid w:val="48BF3283"/>
    <w:rsid w:val="48D9611D"/>
    <w:rsid w:val="48E7672C"/>
    <w:rsid w:val="4913273F"/>
    <w:rsid w:val="49256F8E"/>
    <w:rsid w:val="493C25D4"/>
    <w:rsid w:val="49741B10"/>
    <w:rsid w:val="498D631D"/>
    <w:rsid w:val="4A01752E"/>
    <w:rsid w:val="4A742133"/>
    <w:rsid w:val="4ACC05C3"/>
    <w:rsid w:val="4AD24215"/>
    <w:rsid w:val="4AE93473"/>
    <w:rsid w:val="4B157580"/>
    <w:rsid w:val="4B19393B"/>
    <w:rsid w:val="4B416003"/>
    <w:rsid w:val="4B53235D"/>
    <w:rsid w:val="4B826C70"/>
    <w:rsid w:val="4B8820FC"/>
    <w:rsid w:val="4B956D51"/>
    <w:rsid w:val="4BB3575D"/>
    <w:rsid w:val="4BC311ED"/>
    <w:rsid w:val="4BE3142D"/>
    <w:rsid w:val="4BE40D01"/>
    <w:rsid w:val="4C3474FC"/>
    <w:rsid w:val="4C681932"/>
    <w:rsid w:val="4C804ECE"/>
    <w:rsid w:val="4C8236C4"/>
    <w:rsid w:val="4CA35A9A"/>
    <w:rsid w:val="4CB42DC9"/>
    <w:rsid w:val="4CCD6A6A"/>
    <w:rsid w:val="4D001B6A"/>
    <w:rsid w:val="4D406D5D"/>
    <w:rsid w:val="4DA370C6"/>
    <w:rsid w:val="4DB70A63"/>
    <w:rsid w:val="4DF56B3E"/>
    <w:rsid w:val="4E05638D"/>
    <w:rsid w:val="4E2B47CD"/>
    <w:rsid w:val="4E6D342D"/>
    <w:rsid w:val="4EAA6232"/>
    <w:rsid w:val="4FC07155"/>
    <w:rsid w:val="4FE87012"/>
    <w:rsid w:val="50016325"/>
    <w:rsid w:val="50031E55"/>
    <w:rsid w:val="5028167A"/>
    <w:rsid w:val="502B33A2"/>
    <w:rsid w:val="50406E4E"/>
    <w:rsid w:val="50610B72"/>
    <w:rsid w:val="50834F8C"/>
    <w:rsid w:val="50A238A3"/>
    <w:rsid w:val="50BE7150"/>
    <w:rsid w:val="50C1350C"/>
    <w:rsid w:val="50E214C3"/>
    <w:rsid w:val="50E377D9"/>
    <w:rsid w:val="5119214A"/>
    <w:rsid w:val="5139069E"/>
    <w:rsid w:val="514777A2"/>
    <w:rsid w:val="521452B9"/>
    <w:rsid w:val="52474196"/>
    <w:rsid w:val="525C7843"/>
    <w:rsid w:val="526C0690"/>
    <w:rsid w:val="52805174"/>
    <w:rsid w:val="52846D9A"/>
    <w:rsid w:val="530323B4"/>
    <w:rsid w:val="53515F41"/>
    <w:rsid w:val="53653760"/>
    <w:rsid w:val="536A0225"/>
    <w:rsid w:val="537B4B53"/>
    <w:rsid w:val="53A34AEC"/>
    <w:rsid w:val="53A62FBB"/>
    <w:rsid w:val="53B7689E"/>
    <w:rsid w:val="53C11EE3"/>
    <w:rsid w:val="53CF3535"/>
    <w:rsid w:val="53DC648E"/>
    <w:rsid w:val="542D3161"/>
    <w:rsid w:val="54322F51"/>
    <w:rsid w:val="5463310B"/>
    <w:rsid w:val="547B405D"/>
    <w:rsid w:val="54AD26B7"/>
    <w:rsid w:val="54DC110F"/>
    <w:rsid w:val="54F93A6F"/>
    <w:rsid w:val="55006BAB"/>
    <w:rsid w:val="556C5FEF"/>
    <w:rsid w:val="55782BE6"/>
    <w:rsid w:val="55966EF8"/>
    <w:rsid w:val="55E5038C"/>
    <w:rsid w:val="563C4864"/>
    <w:rsid w:val="565F3DA6"/>
    <w:rsid w:val="565F47CA"/>
    <w:rsid w:val="56867584"/>
    <w:rsid w:val="56BB24FB"/>
    <w:rsid w:val="56CB4F97"/>
    <w:rsid w:val="571526B6"/>
    <w:rsid w:val="572A7F10"/>
    <w:rsid w:val="576A51AE"/>
    <w:rsid w:val="57847A7B"/>
    <w:rsid w:val="57A53A3A"/>
    <w:rsid w:val="57ADE3A2"/>
    <w:rsid w:val="57B31B4C"/>
    <w:rsid w:val="57CC546B"/>
    <w:rsid w:val="5825404F"/>
    <w:rsid w:val="583D1A0B"/>
    <w:rsid w:val="589A7317"/>
    <w:rsid w:val="58B12121"/>
    <w:rsid w:val="58CA720A"/>
    <w:rsid w:val="58EF41B9"/>
    <w:rsid w:val="5904788B"/>
    <w:rsid w:val="59AF6763"/>
    <w:rsid w:val="59B276BC"/>
    <w:rsid w:val="59D6612D"/>
    <w:rsid w:val="59F7246E"/>
    <w:rsid w:val="59F760A3"/>
    <w:rsid w:val="5A5F4374"/>
    <w:rsid w:val="5A7616BE"/>
    <w:rsid w:val="5A875679"/>
    <w:rsid w:val="5A8C7811"/>
    <w:rsid w:val="5A92678D"/>
    <w:rsid w:val="5AB3646E"/>
    <w:rsid w:val="5AB95B1F"/>
    <w:rsid w:val="5AF34ABD"/>
    <w:rsid w:val="5B3002FD"/>
    <w:rsid w:val="5B5A2D8E"/>
    <w:rsid w:val="5B9F08EA"/>
    <w:rsid w:val="5BD552D2"/>
    <w:rsid w:val="5C2B5569"/>
    <w:rsid w:val="5C4557EC"/>
    <w:rsid w:val="5C4F0418"/>
    <w:rsid w:val="5C9E5013"/>
    <w:rsid w:val="5CC93D27"/>
    <w:rsid w:val="5D610403"/>
    <w:rsid w:val="5D8440F2"/>
    <w:rsid w:val="5D9A3915"/>
    <w:rsid w:val="5DAD3649"/>
    <w:rsid w:val="5DCA1920"/>
    <w:rsid w:val="5DD1175D"/>
    <w:rsid w:val="5DE66B93"/>
    <w:rsid w:val="5DF7B9C5"/>
    <w:rsid w:val="5DF85623"/>
    <w:rsid w:val="5E1849EE"/>
    <w:rsid w:val="5E385608"/>
    <w:rsid w:val="5E391380"/>
    <w:rsid w:val="5E421C60"/>
    <w:rsid w:val="5EA960FD"/>
    <w:rsid w:val="5EAE7678"/>
    <w:rsid w:val="5EC450EE"/>
    <w:rsid w:val="5ED715A9"/>
    <w:rsid w:val="5F0F1D9F"/>
    <w:rsid w:val="5F21609C"/>
    <w:rsid w:val="5F2361A5"/>
    <w:rsid w:val="5F7E2929"/>
    <w:rsid w:val="5FCB78B7"/>
    <w:rsid w:val="5FDF5FFF"/>
    <w:rsid w:val="5FE83942"/>
    <w:rsid w:val="5FF05A6E"/>
    <w:rsid w:val="5FFF206E"/>
    <w:rsid w:val="600E1625"/>
    <w:rsid w:val="602A2D2E"/>
    <w:rsid w:val="60536729"/>
    <w:rsid w:val="60613C10"/>
    <w:rsid w:val="60955036"/>
    <w:rsid w:val="60997EB4"/>
    <w:rsid w:val="60C72C73"/>
    <w:rsid w:val="60EE772B"/>
    <w:rsid w:val="6126686F"/>
    <w:rsid w:val="61291238"/>
    <w:rsid w:val="61330309"/>
    <w:rsid w:val="61453689"/>
    <w:rsid w:val="615F10FE"/>
    <w:rsid w:val="61672B5B"/>
    <w:rsid w:val="616A14E3"/>
    <w:rsid w:val="617E77D6"/>
    <w:rsid w:val="61A46B11"/>
    <w:rsid w:val="61D92C5E"/>
    <w:rsid w:val="620F6680"/>
    <w:rsid w:val="622639C9"/>
    <w:rsid w:val="62361E5F"/>
    <w:rsid w:val="62564876"/>
    <w:rsid w:val="62E418BB"/>
    <w:rsid w:val="632E37C8"/>
    <w:rsid w:val="63AB4186"/>
    <w:rsid w:val="63B63177"/>
    <w:rsid w:val="63CC234F"/>
    <w:rsid w:val="64357808"/>
    <w:rsid w:val="64A74651"/>
    <w:rsid w:val="64F17BAA"/>
    <w:rsid w:val="64F466B7"/>
    <w:rsid w:val="65330A50"/>
    <w:rsid w:val="654E74BF"/>
    <w:rsid w:val="655520AA"/>
    <w:rsid w:val="65BF7825"/>
    <w:rsid w:val="65DE3F2B"/>
    <w:rsid w:val="65E247A9"/>
    <w:rsid w:val="660052D7"/>
    <w:rsid w:val="66212E26"/>
    <w:rsid w:val="666047BD"/>
    <w:rsid w:val="667E4A67"/>
    <w:rsid w:val="66AD6B12"/>
    <w:rsid w:val="66D47E98"/>
    <w:rsid w:val="66DC0A88"/>
    <w:rsid w:val="66DF73D5"/>
    <w:rsid w:val="66E04E56"/>
    <w:rsid w:val="66E55C01"/>
    <w:rsid w:val="66F73C1E"/>
    <w:rsid w:val="6703077D"/>
    <w:rsid w:val="670F2C7E"/>
    <w:rsid w:val="672C3C51"/>
    <w:rsid w:val="67713939"/>
    <w:rsid w:val="67B50CF7"/>
    <w:rsid w:val="67CD7020"/>
    <w:rsid w:val="67D975ED"/>
    <w:rsid w:val="67DB0729"/>
    <w:rsid w:val="67E3B571"/>
    <w:rsid w:val="681A68A3"/>
    <w:rsid w:val="683010FE"/>
    <w:rsid w:val="6863673C"/>
    <w:rsid w:val="68945B31"/>
    <w:rsid w:val="68A82AFF"/>
    <w:rsid w:val="68E5213C"/>
    <w:rsid w:val="68FE744E"/>
    <w:rsid w:val="693D6063"/>
    <w:rsid w:val="6952767F"/>
    <w:rsid w:val="69620060"/>
    <w:rsid w:val="696E0130"/>
    <w:rsid w:val="699D27C3"/>
    <w:rsid w:val="69D56401"/>
    <w:rsid w:val="69F85C4B"/>
    <w:rsid w:val="6A336CFE"/>
    <w:rsid w:val="6AB46E49"/>
    <w:rsid w:val="6AD1016F"/>
    <w:rsid w:val="6B157969"/>
    <w:rsid w:val="6B19056F"/>
    <w:rsid w:val="6B4B624F"/>
    <w:rsid w:val="6B4C26F3"/>
    <w:rsid w:val="6B6D4417"/>
    <w:rsid w:val="6B827EC3"/>
    <w:rsid w:val="6B8564F6"/>
    <w:rsid w:val="6B9C0BDB"/>
    <w:rsid w:val="6C6D7E58"/>
    <w:rsid w:val="6C8B724B"/>
    <w:rsid w:val="6D5767BD"/>
    <w:rsid w:val="6DD864C0"/>
    <w:rsid w:val="6DF3B94E"/>
    <w:rsid w:val="6E120BBD"/>
    <w:rsid w:val="6E1A6AD8"/>
    <w:rsid w:val="6E4E6782"/>
    <w:rsid w:val="6E645F89"/>
    <w:rsid w:val="6E733B9B"/>
    <w:rsid w:val="6E7603C5"/>
    <w:rsid w:val="6EC10D02"/>
    <w:rsid w:val="6EE712B2"/>
    <w:rsid w:val="6EFA6420"/>
    <w:rsid w:val="6EFF612B"/>
    <w:rsid w:val="6F0931B7"/>
    <w:rsid w:val="6F15104E"/>
    <w:rsid w:val="6F6D2C38"/>
    <w:rsid w:val="6FE93B89"/>
    <w:rsid w:val="702552C0"/>
    <w:rsid w:val="706C369E"/>
    <w:rsid w:val="70837BD9"/>
    <w:rsid w:val="708A54DB"/>
    <w:rsid w:val="708A578B"/>
    <w:rsid w:val="70AD70EB"/>
    <w:rsid w:val="70CB4DC3"/>
    <w:rsid w:val="70E41574"/>
    <w:rsid w:val="70F461BF"/>
    <w:rsid w:val="71394751"/>
    <w:rsid w:val="71744DC4"/>
    <w:rsid w:val="71976CE9"/>
    <w:rsid w:val="72506497"/>
    <w:rsid w:val="725344F3"/>
    <w:rsid w:val="725400DF"/>
    <w:rsid w:val="72777329"/>
    <w:rsid w:val="72B0708E"/>
    <w:rsid w:val="72B55021"/>
    <w:rsid w:val="72EF3C31"/>
    <w:rsid w:val="734B0E62"/>
    <w:rsid w:val="73A429A0"/>
    <w:rsid w:val="73EB05CF"/>
    <w:rsid w:val="74BD7896"/>
    <w:rsid w:val="74BF5CE3"/>
    <w:rsid w:val="74C1019E"/>
    <w:rsid w:val="74ED2FE1"/>
    <w:rsid w:val="75255E53"/>
    <w:rsid w:val="75475CD9"/>
    <w:rsid w:val="75A34A95"/>
    <w:rsid w:val="75A629FF"/>
    <w:rsid w:val="75DD6C71"/>
    <w:rsid w:val="75E31AB5"/>
    <w:rsid w:val="75E561B4"/>
    <w:rsid w:val="762D4ECF"/>
    <w:rsid w:val="7634625D"/>
    <w:rsid w:val="763B7D07"/>
    <w:rsid w:val="7657019E"/>
    <w:rsid w:val="766905FD"/>
    <w:rsid w:val="76A827A7"/>
    <w:rsid w:val="76BB072D"/>
    <w:rsid w:val="76E45ED5"/>
    <w:rsid w:val="777B1796"/>
    <w:rsid w:val="77A505EC"/>
    <w:rsid w:val="77BB240F"/>
    <w:rsid w:val="77E96526"/>
    <w:rsid w:val="789D6CAA"/>
    <w:rsid w:val="78C00D2A"/>
    <w:rsid w:val="78CA14C9"/>
    <w:rsid w:val="79001B14"/>
    <w:rsid w:val="7902190B"/>
    <w:rsid w:val="791B54B2"/>
    <w:rsid w:val="79491B5F"/>
    <w:rsid w:val="794D1059"/>
    <w:rsid w:val="795217B3"/>
    <w:rsid w:val="797E0077"/>
    <w:rsid w:val="798D7D21"/>
    <w:rsid w:val="79A3351B"/>
    <w:rsid w:val="79B37DE1"/>
    <w:rsid w:val="79DC2E94"/>
    <w:rsid w:val="79E93803"/>
    <w:rsid w:val="7A035FCE"/>
    <w:rsid w:val="7A0F7C4F"/>
    <w:rsid w:val="7A1268B5"/>
    <w:rsid w:val="7A2B7F7C"/>
    <w:rsid w:val="7A2D36EF"/>
    <w:rsid w:val="7A31075C"/>
    <w:rsid w:val="7A770E0E"/>
    <w:rsid w:val="7AA716F4"/>
    <w:rsid w:val="7AAA685A"/>
    <w:rsid w:val="7AEB29E8"/>
    <w:rsid w:val="7AEC35AA"/>
    <w:rsid w:val="7B5F4AF6"/>
    <w:rsid w:val="7B772635"/>
    <w:rsid w:val="7B9D029D"/>
    <w:rsid w:val="7BAF7A5D"/>
    <w:rsid w:val="7BB61AD4"/>
    <w:rsid w:val="7BCF6E26"/>
    <w:rsid w:val="7BE83ED7"/>
    <w:rsid w:val="7C376AA7"/>
    <w:rsid w:val="7C480CB4"/>
    <w:rsid w:val="7C5807CC"/>
    <w:rsid w:val="7C7C186A"/>
    <w:rsid w:val="7C881424"/>
    <w:rsid w:val="7C8A156A"/>
    <w:rsid w:val="7CE25C46"/>
    <w:rsid w:val="7D374F29"/>
    <w:rsid w:val="7D5A13EC"/>
    <w:rsid w:val="7D72325C"/>
    <w:rsid w:val="7D892353"/>
    <w:rsid w:val="7DAE7CA9"/>
    <w:rsid w:val="7DD00F61"/>
    <w:rsid w:val="7E2F6A52"/>
    <w:rsid w:val="7E7B4618"/>
    <w:rsid w:val="7E7F13F8"/>
    <w:rsid w:val="7EF6505B"/>
    <w:rsid w:val="7F004FEC"/>
    <w:rsid w:val="7F3C6183"/>
    <w:rsid w:val="7F432B54"/>
    <w:rsid w:val="7F466F7C"/>
    <w:rsid w:val="7F5B0CFF"/>
    <w:rsid w:val="7F631961"/>
    <w:rsid w:val="7F6AFADA"/>
    <w:rsid w:val="7F923FF5"/>
    <w:rsid w:val="7FBE4DEA"/>
    <w:rsid w:val="7FCC7687"/>
    <w:rsid w:val="7FEFCB6D"/>
    <w:rsid w:val="7FF5203B"/>
    <w:rsid w:val="7FFF10CA"/>
    <w:rsid w:val="B96E8DFC"/>
    <w:rsid w:val="D4EFF40A"/>
    <w:rsid w:val="D7E7F4FA"/>
    <w:rsid w:val="DAB67335"/>
    <w:rsid w:val="DBC350DD"/>
    <w:rsid w:val="DBD05ECA"/>
    <w:rsid w:val="F7CF9E11"/>
    <w:rsid w:val="F7DD0210"/>
    <w:rsid w:val="F7F76A82"/>
    <w:rsid w:val="FA7F20AE"/>
    <w:rsid w:val="FB7F8D02"/>
    <w:rsid w:val="FF7F5F63"/>
    <w:rsid w:val="FF93AD16"/>
    <w:rsid w:val="FFEF98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20"/>
    <w:qFormat/>
    <w:uiPriority w:val="9"/>
    <w:pPr>
      <w:outlineLvl w:val="0"/>
    </w:pPr>
    <w:rPr>
      <w:rFonts w:eastAsia="方正黑体_GBK"/>
    </w:rPr>
  </w:style>
  <w:style w:type="paragraph" w:styleId="3">
    <w:name w:val="heading 2"/>
    <w:basedOn w:val="1"/>
    <w:next w:val="1"/>
    <w:link w:val="21"/>
    <w:unhideWhenUsed/>
    <w:qFormat/>
    <w:uiPriority w:val="9"/>
    <w:pPr>
      <w:outlineLvl w:val="1"/>
    </w:pPr>
    <w:rPr>
      <w:rFonts w:eastAsia="方正楷体_GBK"/>
    </w:rPr>
  </w:style>
  <w:style w:type="paragraph" w:styleId="4">
    <w:name w:val="heading 3"/>
    <w:basedOn w:val="1"/>
    <w:next w:val="1"/>
    <w:link w:val="31"/>
    <w:semiHidden/>
    <w:unhideWhenUsed/>
    <w:qFormat/>
    <w:uiPriority w:val="0"/>
    <w:pPr>
      <w:keepNext/>
      <w:keepLines/>
      <w:spacing w:line="413" w:lineRule="auto"/>
      <w:outlineLvl w:val="2"/>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qFormat/>
    <w:uiPriority w:val="0"/>
    <w:pPr>
      <w:jc w:val="left"/>
    </w:pPr>
  </w:style>
  <w:style w:type="paragraph" w:styleId="6">
    <w:name w:val="Body Text"/>
    <w:basedOn w:val="1"/>
    <w:qFormat/>
    <w:uiPriority w:val="0"/>
  </w:style>
  <w:style w:type="paragraph" w:styleId="7">
    <w:name w:val="Balloon Text"/>
    <w:basedOn w:val="1"/>
    <w:link w:val="30"/>
    <w:qFormat/>
    <w:uiPriority w:val="0"/>
    <w:rPr>
      <w:sz w:val="18"/>
    </w:rPr>
  </w:style>
  <w:style w:type="paragraph" w:styleId="8">
    <w:name w:val="footer"/>
    <w:basedOn w:val="1"/>
    <w:link w:val="22"/>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4"/>
    <w:qFormat/>
    <w:uiPriority w:val="11"/>
    <w:pPr>
      <w:ind w:firstLine="0" w:firstLineChars="0"/>
      <w:jc w:val="center"/>
    </w:pPr>
    <w:rPr>
      <w:rFonts w:eastAsia="方正楷体_GBK"/>
      <w:szCs w:val="32"/>
    </w:rPr>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2">
    <w:name w:val="Normal (Web)"/>
    <w:basedOn w:val="1"/>
    <w:qFormat/>
    <w:uiPriority w:val="0"/>
    <w:rPr>
      <w:sz w:val="24"/>
    </w:rPr>
  </w:style>
  <w:style w:type="paragraph" w:styleId="13">
    <w:name w:val="Title"/>
    <w:basedOn w:val="1"/>
    <w:next w:val="1"/>
    <w:link w:val="25"/>
    <w:qFormat/>
    <w:uiPriority w:val="10"/>
    <w:pPr>
      <w:ind w:firstLine="0" w:firstLineChars="0"/>
      <w:jc w:val="center"/>
      <w:outlineLvl w:val="0"/>
    </w:pPr>
    <w:rPr>
      <w:rFonts w:eastAsia="方正小标宋_GBK" w:cstheme="majorBidi"/>
      <w:bCs/>
      <w:sz w:val="44"/>
      <w:szCs w:val="44"/>
    </w:rPr>
  </w:style>
  <w:style w:type="paragraph" w:styleId="14">
    <w:name w:val="annotation subject"/>
    <w:basedOn w:val="5"/>
    <w:next w:val="5"/>
    <w:link w:val="34"/>
    <w:semiHidden/>
    <w:unhideWhenUsed/>
    <w:qFormat/>
    <w:uiPriority w:val="99"/>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semiHidden/>
    <w:unhideWhenUsed/>
    <w:qFormat/>
    <w:uiPriority w:val="99"/>
    <w:rPr>
      <w:sz w:val="21"/>
      <w:szCs w:val="21"/>
    </w:rPr>
  </w:style>
  <w:style w:type="character" w:customStyle="1" w:styleId="20">
    <w:name w:val="标题 1 Char"/>
    <w:basedOn w:val="17"/>
    <w:link w:val="2"/>
    <w:qFormat/>
    <w:uiPriority w:val="9"/>
    <w:rPr>
      <w:rFonts w:eastAsia="方正黑体_GBK"/>
    </w:rPr>
  </w:style>
  <w:style w:type="character" w:customStyle="1" w:styleId="21">
    <w:name w:val="标题 2 Char"/>
    <w:basedOn w:val="17"/>
    <w:link w:val="3"/>
    <w:qFormat/>
    <w:uiPriority w:val="9"/>
    <w:rPr>
      <w:rFonts w:eastAsia="方正楷体_GBK"/>
    </w:rPr>
  </w:style>
  <w:style w:type="character" w:customStyle="1" w:styleId="22">
    <w:name w:val="页脚 Char"/>
    <w:basedOn w:val="17"/>
    <w:link w:val="8"/>
    <w:qFormat/>
    <w:uiPriority w:val="99"/>
    <w:rPr>
      <w:sz w:val="18"/>
      <w:szCs w:val="18"/>
    </w:rPr>
  </w:style>
  <w:style w:type="character" w:customStyle="1" w:styleId="23">
    <w:name w:val="页眉 Char"/>
    <w:basedOn w:val="17"/>
    <w:link w:val="9"/>
    <w:qFormat/>
    <w:uiPriority w:val="99"/>
    <w:rPr>
      <w:sz w:val="18"/>
      <w:szCs w:val="18"/>
    </w:rPr>
  </w:style>
  <w:style w:type="character" w:customStyle="1" w:styleId="24">
    <w:name w:val="副标题 Char"/>
    <w:basedOn w:val="17"/>
    <w:link w:val="10"/>
    <w:qFormat/>
    <w:uiPriority w:val="11"/>
    <w:rPr>
      <w:rFonts w:eastAsia="方正楷体_GBK"/>
      <w:szCs w:val="32"/>
    </w:rPr>
  </w:style>
  <w:style w:type="character" w:customStyle="1" w:styleId="25">
    <w:name w:val="标题 Char"/>
    <w:basedOn w:val="17"/>
    <w:link w:val="13"/>
    <w:qFormat/>
    <w:uiPriority w:val="10"/>
    <w:rPr>
      <w:rFonts w:eastAsia="方正小标宋_GBK" w:cstheme="majorBidi"/>
      <w:bCs/>
      <w:sz w:val="44"/>
      <w:szCs w:val="44"/>
    </w:rPr>
  </w:style>
  <w:style w:type="paragraph" w:customStyle="1" w:styleId="26">
    <w:name w:val="单页页码"/>
    <w:basedOn w:val="8"/>
    <w:link w:val="27"/>
    <w:qFormat/>
    <w:uiPriority w:val="0"/>
    <w:pPr>
      <w:spacing w:line="240" w:lineRule="auto"/>
      <w:ind w:right="320" w:rightChars="100" w:firstLine="0" w:firstLineChars="0"/>
      <w:jc w:val="right"/>
    </w:pPr>
    <w:rPr>
      <w:rFonts w:ascii="宋体" w:hAnsi="宋体" w:eastAsia="宋体"/>
      <w:sz w:val="28"/>
      <w:szCs w:val="28"/>
    </w:rPr>
  </w:style>
  <w:style w:type="character" w:customStyle="1" w:styleId="27">
    <w:name w:val="单页页码 Char"/>
    <w:basedOn w:val="22"/>
    <w:link w:val="26"/>
    <w:qFormat/>
    <w:uiPriority w:val="0"/>
    <w:rPr>
      <w:rFonts w:ascii="宋体" w:hAnsi="宋体" w:eastAsia="宋体"/>
      <w:sz w:val="28"/>
      <w:szCs w:val="28"/>
    </w:rPr>
  </w:style>
  <w:style w:type="paragraph" w:customStyle="1" w:styleId="28">
    <w:name w:val="双页页码"/>
    <w:basedOn w:val="8"/>
    <w:link w:val="29"/>
    <w:qFormat/>
    <w:uiPriority w:val="0"/>
    <w:pPr>
      <w:spacing w:line="240" w:lineRule="auto"/>
      <w:ind w:left="320" w:leftChars="100" w:firstLine="0" w:firstLineChars="0"/>
    </w:pPr>
    <w:rPr>
      <w:rFonts w:ascii="宋体" w:hAnsi="宋体" w:eastAsia="宋体"/>
      <w:sz w:val="28"/>
      <w:szCs w:val="28"/>
    </w:rPr>
  </w:style>
  <w:style w:type="character" w:customStyle="1" w:styleId="29">
    <w:name w:val="双页页码 Char"/>
    <w:basedOn w:val="22"/>
    <w:link w:val="28"/>
    <w:qFormat/>
    <w:uiPriority w:val="0"/>
    <w:rPr>
      <w:rFonts w:ascii="宋体" w:hAnsi="宋体" w:eastAsia="宋体"/>
      <w:sz w:val="28"/>
      <w:szCs w:val="28"/>
    </w:rPr>
  </w:style>
  <w:style w:type="character" w:customStyle="1" w:styleId="30">
    <w:name w:val="批注框文本 Char"/>
    <w:link w:val="7"/>
    <w:semiHidden/>
    <w:qFormat/>
    <w:uiPriority w:val="99"/>
    <w:rPr>
      <w:sz w:val="18"/>
    </w:rPr>
  </w:style>
  <w:style w:type="character" w:customStyle="1" w:styleId="31">
    <w:name w:val="标题 3 Char"/>
    <w:link w:val="4"/>
    <w:qFormat/>
    <w:uiPriority w:val="9"/>
    <w:rPr>
      <w:b/>
      <w:sz w:val="32"/>
    </w:rPr>
  </w:style>
  <w:style w:type="paragraph" w:styleId="3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批注文字 Char"/>
    <w:basedOn w:val="17"/>
    <w:link w:val="5"/>
    <w:qFormat/>
    <w:uiPriority w:val="0"/>
    <w:rPr>
      <w:rFonts w:eastAsia="方正仿宋_GBK" w:cstheme="minorBidi"/>
      <w:kern w:val="2"/>
      <w:sz w:val="32"/>
      <w:szCs w:val="22"/>
    </w:rPr>
  </w:style>
  <w:style w:type="character" w:customStyle="1" w:styleId="34">
    <w:name w:val="批注主题 Char"/>
    <w:basedOn w:val="33"/>
    <w:link w:val="14"/>
    <w:qFormat/>
    <w:uiPriority w:val="0"/>
  </w:style>
  <w:style w:type="paragraph" w:customStyle="1" w:styleId="35">
    <w:name w:val="Revision"/>
    <w:hidden/>
    <w:unhideWhenUsed/>
    <w:qFormat/>
    <w:uiPriority w:val="99"/>
    <w:rPr>
      <w:rFonts w:ascii="Times New Roman" w:hAnsi="Times New Roman" w:eastAsia="方正仿宋_GBK"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9A9B5-12A6-493C-8B1C-FEE650CADD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3776</Words>
  <Characters>3812</Characters>
  <Lines>30</Lines>
  <Paragraphs>8</Paragraphs>
  <TotalTime>19</TotalTime>
  <ScaleCrop>false</ScaleCrop>
  <LinksUpToDate>false</LinksUpToDate>
  <CharactersWithSpaces>3812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2024-03-20T01:51:00Z</dcterms:created>
  <dc:creator>admin</dc:creator>
  <cp:lastModifiedBy>弹琴不说爱</cp:lastModifiedBy>
  <cp:lastPrinted>2025-10-20T07:44:00Z</cp:lastPrinted>
  <dcterms:modified xsi:type="dcterms:W3CDTF">2025-10-21T03:00:36Z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A818FF9737F34C4F9D7C11A54B16BA95_13</vt:lpwstr>
  </property>
  <property fmtid="{D5CDD505-2E9C-101B-9397-08002B2CF9AE}" pid="4" name="KSOTemplateDocerSaveRecord">
    <vt:lpwstr>eyJoZGlkIjoiMDYxYTc3MjEyZDkyNGYwZGMyMmUzYmE5MGU1YTkwMGQiLCJ1c2VySWQiOiIyMDA2OTE1MTQifQ==</vt:lpwstr>
  </property>
</Properties>
</file>