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5B1A35">
      <w:pPr>
        <w:rPr>
          <w:sz w:val="24"/>
        </w:rPr>
      </w:pPr>
      <w:bookmarkStart w:id="55" w:name="_GoBack"/>
      <w:bookmarkEnd w:id="55"/>
    </w:p>
    <w:p w14:paraId="5B094CC0">
      <w:pPr>
        <w:rPr>
          <w:sz w:val="24"/>
        </w:rPr>
      </w:pPr>
      <w:r>
        <mc:AlternateContent>
          <mc:Choice Requires="wps">
            <w:drawing>
              <wp:anchor distT="0" distB="0" distL="114300" distR="114300" simplePos="0" relativeHeight="251659264" behindDoc="0" locked="0" layoutInCell="1" allowOverlap="1">
                <wp:simplePos x="0" y="0"/>
                <wp:positionH relativeFrom="column">
                  <wp:posOffset>4335780</wp:posOffset>
                </wp:positionH>
                <wp:positionV relativeFrom="paragraph">
                  <wp:posOffset>-190500</wp:posOffset>
                </wp:positionV>
                <wp:extent cx="1036320" cy="8001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036320" cy="800100"/>
                        </a:xfrm>
                        <a:prstGeom prst="rect">
                          <a:avLst/>
                        </a:prstGeom>
                        <a:noFill/>
                        <a:ln w="9525">
                          <a:noFill/>
                        </a:ln>
                      </wps:spPr>
                      <wps:txbx>
                        <w:txbxContent>
                          <w:p w14:paraId="202BFB71">
                            <w:pPr>
                              <w:rPr>
                                <w:b/>
                                <w:sz w:val="84"/>
                                <w:szCs w:val="84"/>
                              </w:rPr>
                            </w:pPr>
                            <w:r>
                              <w:rPr>
                                <w:b/>
                                <w:sz w:val="84"/>
                                <w:szCs w:val="84"/>
                              </w:rPr>
                              <w:t>DB</w:t>
                            </w:r>
                          </w:p>
                        </w:txbxContent>
                      </wps:txbx>
                      <wps:bodyPr upright="1"/>
                    </wps:wsp>
                  </a:graphicData>
                </a:graphic>
              </wp:anchor>
            </w:drawing>
          </mc:Choice>
          <mc:Fallback>
            <w:pict>
              <v:shape id="文本框 6" o:spid="_x0000_s1026" o:spt="202" type="#_x0000_t202" style="position:absolute;left:0pt;margin-left:341.4pt;margin-top:-15pt;height:63pt;width:81.6pt;z-index:251659264;mso-width-relative:page;mso-height-relative:page;" filled="f" stroked="f" coordsize="21600,21600" o:gfxdata="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pZfmNcAAAAKAQAADwAAAAAAAAABACAAAAAiAAAAZHJzL2Rvd25yZXYueG1sUEsBAhQAFAAAAAgA&#10;h07iQNIxeA+0AQAAVwMAAA4AAAAAAAAAAQAgAAAAJgEAAGRycy9lMm9Eb2MueG1sUEsFBgAAAAAG&#10;AAYAWQEAAEwFAAAAAA==&#10;">
                <v:fill on="f" focussize="0,0"/>
                <v:stroke on="f"/>
                <v:imagedata o:title=""/>
                <o:lock v:ext="edit" aspectratio="f"/>
                <v:textbox>
                  <w:txbxContent>
                    <w:p w14:paraId="202BFB71">
                      <w:pPr>
                        <w:rPr>
                          <w:b/>
                          <w:sz w:val="84"/>
                          <w:szCs w:val="84"/>
                        </w:rPr>
                      </w:pPr>
                      <w:r>
                        <w:rPr>
                          <w:b/>
                          <w:sz w:val="84"/>
                          <w:szCs w:val="84"/>
                        </w:rPr>
                        <w:t>DB</w:t>
                      </w:r>
                    </w:p>
                  </w:txbxContent>
                </v:textbox>
              </v:shape>
            </w:pict>
          </mc:Fallback>
        </mc:AlternateContent>
      </w:r>
      <w:r>
        <w:rPr>
          <w:sz w:val="24"/>
        </w:rPr>
        <w:t>住房和城乡建设部备案号：JXXXX</w:t>
      </w:r>
      <w:r>
        <w:rPr>
          <w:sz w:val="24"/>
          <w:szCs w:val="24"/>
        </w:rPr>
        <w:t>X-</w:t>
      </w:r>
      <w:r>
        <w:rPr>
          <w:b/>
          <w:sz w:val="24"/>
          <w:szCs w:val="24"/>
        </w:rPr>
        <w:t>20</w:t>
      </w:r>
      <w:r>
        <w:rPr>
          <w:rFonts w:hint="eastAsia"/>
          <w:b/>
          <w:sz w:val="24"/>
          <w:szCs w:val="24"/>
        </w:rPr>
        <w:t>26</w:t>
      </w:r>
    </w:p>
    <w:p w14:paraId="0ED2585D">
      <w:pPr>
        <w:pStyle w:val="47"/>
      </w:pPr>
    </w:p>
    <w:p w14:paraId="3694AFDE">
      <w:pPr>
        <w:pStyle w:val="47"/>
      </w:pPr>
    </w:p>
    <w:p w14:paraId="012BA774">
      <w:pPr>
        <w:pStyle w:val="47"/>
      </w:pPr>
      <w:r>
        <w:rPr>
          <w:rFonts w:hint="eastAsia"/>
        </w:rPr>
        <w:t>重庆市工程建设标准</w:t>
      </w:r>
    </w:p>
    <w:p w14:paraId="02C3AB6A">
      <w:pPr>
        <w:rPr>
          <w:b/>
          <w:sz w:val="28"/>
          <w:szCs w:val="28"/>
        </w:rPr>
      </w:pPr>
    </w:p>
    <w:p w14:paraId="2793C3AC">
      <w:pPr>
        <w:jc w:val="right"/>
        <w:rPr>
          <w:b/>
          <w:sz w:val="24"/>
          <w:szCs w:val="24"/>
        </w:rPr>
      </w:pPr>
      <w:r>
        <w:rPr>
          <w:b/>
          <w:sz w:val="24"/>
          <w:szCs w:val="24"/>
        </w:rPr>
        <w:t>DBJXX-XXX-20</w:t>
      </w:r>
      <w:r>
        <w:rPr>
          <w:rFonts w:hint="eastAsia"/>
          <w:b/>
          <w:sz w:val="24"/>
          <w:szCs w:val="24"/>
        </w:rPr>
        <w:t>26</w:t>
      </w:r>
    </w:p>
    <w:p w14:paraId="6AC66B5E">
      <w:pPr>
        <w:rPr>
          <w:sz w:val="28"/>
          <w:szCs w:val="28"/>
        </w:rPr>
      </w:pPr>
      <w: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49530</wp:posOffset>
                </wp:positionV>
                <wp:extent cx="5514340" cy="0"/>
                <wp:effectExtent l="0" t="0" r="0" b="0"/>
                <wp:wrapNone/>
                <wp:docPr id="1" name="直接连接符 2"/>
                <wp:cNvGraphicFramePr/>
                <a:graphic xmlns:a="http://schemas.openxmlformats.org/drawingml/2006/main">
                  <a:graphicData uri="http://schemas.microsoft.com/office/word/2010/wordprocessingShape">
                    <wps:wsp>
                      <wps:cNvCnPr/>
                      <wps:spPr>
                        <a:xfrm>
                          <a:off x="0" y="0"/>
                          <a:ext cx="551434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2" o:spid="_x0000_s1026" o:spt="20" style="position:absolute;left:0pt;margin-left:-1.5pt;margin-top:3.9pt;height:0pt;width:434.2pt;z-index:251660288;mso-width-relative:page;mso-height-relative:page;" filled="f" stroked="t" coordsize="21600,21600" o:gfxdata="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j3bZx&#10;1AAAAAYBAAAPAAAAAAAAAAEAIAAAACIAAABkcnMvZG93bnJldi54bWxQSwECFAAUAAAACACHTuJA&#10;Sr3FZ+wBAADYAwAADgAAAAAAAAABACAAAAAjAQAAZHJzL2Uyb0RvYy54bWxQSwUGAAAAAAYABgBZ&#10;AQAAgQUAAAAA&#10;">
                <v:fill on="f" focussize="0,0"/>
                <v:stroke color="#000000" joinstyle="round"/>
                <v:imagedata o:title=""/>
                <o:lock v:ext="edit" aspectratio="f"/>
              </v:line>
            </w:pict>
          </mc:Fallback>
        </mc:AlternateContent>
      </w:r>
    </w:p>
    <w:p w14:paraId="5911EA73">
      <w:pPr>
        <w:pStyle w:val="47"/>
        <w:rPr>
          <w:rFonts w:hint="eastAsia" w:ascii="宋体" w:hAnsi="宋体" w:eastAsia="宋体"/>
          <w:b/>
          <w:bCs/>
          <w:sz w:val="36"/>
          <w:szCs w:val="36"/>
        </w:rPr>
      </w:pPr>
      <w:bookmarkStart w:id="0" w:name="OLE_LINK11"/>
      <w:r>
        <w:rPr>
          <w:rFonts w:hint="eastAsia" w:ascii="宋体" w:hAnsi="宋体" w:eastAsia="宋体"/>
          <w:b/>
          <w:bCs/>
          <w:sz w:val="36"/>
          <w:szCs w:val="36"/>
        </w:rPr>
        <w:t>装配式建筑预制构件生产和安装信息化</w:t>
      </w:r>
    </w:p>
    <w:p w14:paraId="1F5C1239">
      <w:pPr>
        <w:pStyle w:val="47"/>
        <w:rPr>
          <w:rFonts w:hint="eastAsia" w:ascii="宋体" w:hAnsi="宋体" w:eastAsia="宋体"/>
          <w:b/>
          <w:bCs/>
          <w:sz w:val="36"/>
          <w:szCs w:val="36"/>
        </w:rPr>
      </w:pPr>
      <w:r>
        <w:rPr>
          <w:rFonts w:hint="eastAsia" w:ascii="宋体" w:hAnsi="宋体" w:eastAsia="宋体"/>
          <w:b/>
          <w:bCs/>
          <w:sz w:val="36"/>
          <w:szCs w:val="36"/>
        </w:rPr>
        <w:t>技术标准</w:t>
      </w:r>
    </w:p>
    <w:p w14:paraId="2A33E362">
      <w:pPr>
        <w:pStyle w:val="47"/>
        <w:rPr>
          <w:b/>
          <w:bCs/>
        </w:rPr>
      </w:pPr>
      <w:r>
        <w:rPr>
          <w:b/>
          <w:bCs/>
        </w:rPr>
        <w:t>Technical standard for informatization of prefabricated component production and installation in prefabricated buildings</w:t>
      </w:r>
    </w:p>
    <w:bookmarkEnd w:id="0"/>
    <w:p w14:paraId="23A6F5CE">
      <w:pPr>
        <w:pStyle w:val="47"/>
      </w:pPr>
      <w:r>
        <w:rPr>
          <w:rFonts w:hint="eastAsia"/>
        </w:rPr>
        <w:t>（征求意见稿）</w:t>
      </w:r>
    </w:p>
    <w:p w14:paraId="57309316">
      <w:pPr>
        <w:pStyle w:val="47"/>
      </w:pPr>
    </w:p>
    <w:p w14:paraId="7D87961E">
      <w:pPr>
        <w:pStyle w:val="47"/>
      </w:pPr>
    </w:p>
    <w:p w14:paraId="55970903">
      <w:pPr>
        <w:pStyle w:val="47"/>
      </w:pPr>
    </w:p>
    <w:p w14:paraId="1E41ABB5">
      <w:pPr>
        <w:pStyle w:val="47"/>
      </w:pPr>
    </w:p>
    <w:p w14:paraId="5864FCA5">
      <w:pPr>
        <w:pStyle w:val="47"/>
      </w:pPr>
    </w:p>
    <w:p w14:paraId="353D2121">
      <w:pPr>
        <w:pStyle w:val="47"/>
      </w:pPr>
    </w:p>
    <w:p w14:paraId="052CCB01">
      <w:pPr>
        <w:pStyle w:val="47"/>
      </w:pPr>
    </w:p>
    <w:p w14:paraId="22749AF0">
      <w:pPr>
        <w:pStyle w:val="47"/>
      </w:pPr>
    </w:p>
    <w:p w14:paraId="6E68BE27">
      <w:pPr>
        <w:pStyle w:val="47"/>
      </w:pPr>
    </w:p>
    <w:p w14:paraId="4353DD9F">
      <w:pPr>
        <w:jc w:val="left"/>
        <w:rPr>
          <w:b/>
          <w:sz w:val="24"/>
          <w:szCs w:val="24"/>
        </w:rPr>
      </w:pPr>
    </w:p>
    <w:p w14:paraId="0369F58E">
      <w:pPr>
        <w:jc w:val="left"/>
        <w:rPr>
          <w:b/>
          <w:sz w:val="24"/>
          <w:szCs w:val="24"/>
        </w:rPr>
      </w:pPr>
      <w:r>
        <w:rPr>
          <w:b/>
          <w:sz w:val="24"/>
          <w:szCs w:val="24"/>
        </w:rPr>
        <w:t>20</w:t>
      </w:r>
      <w:r>
        <w:rPr>
          <w:rFonts w:hint="eastAsia"/>
          <w:b/>
          <w:sz w:val="24"/>
          <w:szCs w:val="24"/>
        </w:rPr>
        <w:t>26</w:t>
      </w:r>
      <w:r>
        <w:rPr>
          <w:b/>
          <w:sz w:val="24"/>
          <w:szCs w:val="24"/>
        </w:rPr>
        <w:t>－XX－XX发布</w:t>
      </w:r>
      <w:r>
        <w:rPr>
          <w:rFonts w:hint="eastAsia"/>
          <w:b/>
          <w:sz w:val="24"/>
          <w:szCs w:val="24"/>
        </w:rPr>
        <w:t xml:space="preserve">                                </w:t>
      </w:r>
      <w:r>
        <w:rPr>
          <w:b/>
          <w:sz w:val="24"/>
          <w:szCs w:val="24"/>
        </w:rPr>
        <w:t>20</w:t>
      </w:r>
      <w:r>
        <w:rPr>
          <w:rFonts w:hint="eastAsia"/>
          <w:b/>
          <w:sz w:val="24"/>
          <w:szCs w:val="24"/>
        </w:rPr>
        <w:t>26</w:t>
      </w:r>
      <w:r>
        <w:rPr>
          <w:b/>
          <w:sz w:val="24"/>
          <w:szCs w:val="24"/>
        </w:rPr>
        <w:t>－XX－XX实施</w:t>
      </w:r>
    </w:p>
    <w:p w14:paraId="12FE056E">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24765</wp:posOffset>
                </wp:positionV>
                <wp:extent cx="5514340" cy="0"/>
                <wp:effectExtent l="0" t="0" r="0" b="0"/>
                <wp:wrapNone/>
                <wp:docPr id="3" name="直接连接符 1"/>
                <wp:cNvGraphicFramePr/>
                <a:graphic xmlns:a="http://schemas.openxmlformats.org/drawingml/2006/main">
                  <a:graphicData uri="http://schemas.microsoft.com/office/word/2010/wordprocessingShape">
                    <wps:wsp>
                      <wps:cNvCnPr/>
                      <wps:spPr>
                        <a:xfrm>
                          <a:off x="0" y="0"/>
                          <a:ext cx="551434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1" o:spid="_x0000_s1026" o:spt="20" style="position:absolute;left:0pt;margin-left:-5.2pt;margin-top:1.95pt;height:0pt;width:434.2pt;z-index:251661312;mso-width-relative:page;mso-height-relative:page;" filled="f" stroked="t" coordsize="21600,21600" o:gfxdata="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hC&#10;f9PVAAAABwEAAA8AAAAAAAAAAQAgAAAAIgAAAGRycy9kb3ducmV2LnhtbFBLAQIUABQAAAAIAIdO&#10;4kB+ieKR7QEAANgDAAAOAAAAAAAAAAEAIAAAACQBAABkcnMvZTJvRG9jLnhtbFBLBQYAAAAABgAG&#10;AFkBAACDBQAAAAA=&#10;">
                <v:fill on="f" focussize="0,0"/>
                <v:stroke color="#000000" joinstyle="round"/>
                <v:imagedata o:title=""/>
                <o:lock v:ext="edit" aspectratio="f"/>
              </v:line>
            </w:pict>
          </mc:Fallback>
        </mc:AlternateContent>
      </w:r>
    </w:p>
    <w:p w14:paraId="36231352">
      <w:pPr>
        <w:jc w:val="center"/>
        <w:rPr>
          <w:b/>
          <w:sz w:val="24"/>
          <w:szCs w:val="24"/>
        </w:rPr>
      </w:pPr>
      <w:r>
        <w:rPr>
          <w:b/>
          <w:sz w:val="24"/>
          <w:szCs w:val="24"/>
        </w:rPr>
        <w:t>重庆市</w:t>
      </w:r>
      <w:r>
        <w:rPr>
          <w:rFonts w:hint="eastAsia"/>
          <w:b/>
          <w:sz w:val="24"/>
          <w:szCs w:val="24"/>
        </w:rPr>
        <w:t>住房和</w:t>
      </w:r>
      <w:r>
        <w:rPr>
          <w:b/>
          <w:sz w:val="24"/>
          <w:szCs w:val="24"/>
        </w:rPr>
        <w:t>城乡建设委员会</w:t>
      </w:r>
      <w:r>
        <w:rPr>
          <w:rFonts w:hint="eastAsia"/>
          <w:b/>
          <w:sz w:val="24"/>
          <w:szCs w:val="24"/>
        </w:rPr>
        <w:t xml:space="preserve">  </w:t>
      </w:r>
      <w:r>
        <w:rPr>
          <w:b/>
          <w:sz w:val="24"/>
          <w:szCs w:val="24"/>
        </w:rPr>
        <w:t>发布</w:t>
      </w:r>
    </w:p>
    <w:p w14:paraId="7AA8F9C4">
      <w:pPr>
        <w:pStyle w:val="47"/>
      </w:pPr>
    </w:p>
    <w:p w14:paraId="3F82D142">
      <w:pPr>
        <w:pStyle w:val="47"/>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18A2B0F6">
      <w:pPr>
        <w:jc w:val="center"/>
        <w:rPr>
          <w:b/>
          <w:sz w:val="32"/>
          <w:szCs w:val="32"/>
        </w:rPr>
      </w:pPr>
    </w:p>
    <w:p w14:paraId="346B9AFE">
      <w:pPr>
        <w:rPr>
          <w:b/>
          <w:sz w:val="32"/>
          <w:szCs w:val="32"/>
        </w:rPr>
      </w:pPr>
    </w:p>
    <w:p w14:paraId="1F25E302">
      <w:pPr>
        <w:jc w:val="center"/>
        <w:rPr>
          <w:b/>
          <w:sz w:val="32"/>
          <w:szCs w:val="32"/>
        </w:rPr>
      </w:pPr>
    </w:p>
    <w:p w14:paraId="0B828A50">
      <w:pPr>
        <w:jc w:val="center"/>
        <w:rPr>
          <w:b/>
          <w:sz w:val="32"/>
          <w:szCs w:val="32"/>
        </w:rPr>
      </w:pPr>
    </w:p>
    <w:p w14:paraId="2A00D696">
      <w:pPr>
        <w:jc w:val="center"/>
        <w:rPr>
          <w:rFonts w:eastAsia="黑体"/>
          <w:b/>
          <w:color w:val="000000"/>
          <w:sz w:val="28"/>
          <w:szCs w:val="32"/>
        </w:rPr>
      </w:pPr>
      <w:r>
        <w:rPr>
          <w:rFonts w:eastAsia="黑体"/>
          <w:b/>
          <w:color w:val="000000"/>
          <w:sz w:val="28"/>
          <w:szCs w:val="32"/>
        </w:rPr>
        <w:t>重庆市工程建设标准</w:t>
      </w:r>
    </w:p>
    <w:p w14:paraId="7D3502D1">
      <w:pPr>
        <w:jc w:val="center"/>
        <w:rPr>
          <w:b/>
          <w:color w:val="000000"/>
          <w:sz w:val="44"/>
          <w:szCs w:val="44"/>
        </w:rPr>
      </w:pPr>
    </w:p>
    <w:p w14:paraId="75BA1351">
      <w:pPr>
        <w:jc w:val="center"/>
        <w:rPr>
          <w:b/>
          <w:color w:val="000000"/>
          <w:sz w:val="44"/>
          <w:szCs w:val="44"/>
        </w:rPr>
      </w:pPr>
    </w:p>
    <w:p w14:paraId="7E841351">
      <w:pPr>
        <w:jc w:val="center"/>
        <w:rPr>
          <w:rFonts w:hint="eastAsia" w:ascii="宋体" w:hAnsi="宋体" w:cs="Times New Roman"/>
          <w:b/>
          <w:bCs/>
          <w:sz w:val="36"/>
          <w:szCs w:val="36"/>
        </w:rPr>
      </w:pPr>
      <w:r>
        <w:rPr>
          <w:rFonts w:hint="eastAsia" w:ascii="宋体" w:hAnsi="宋体" w:cs="Times New Roman"/>
          <w:b/>
          <w:bCs/>
          <w:sz w:val="36"/>
          <w:szCs w:val="36"/>
        </w:rPr>
        <w:t>装配式建筑预制构件生产和安装信息化</w:t>
      </w:r>
    </w:p>
    <w:p w14:paraId="2BE6053C">
      <w:pPr>
        <w:jc w:val="center"/>
        <w:rPr>
          <w:rFonts w:hint="eastAsia" w:ascii="宋体" w:hAnsi="宋体" w:cs="Times New Roman"/>
          <w:b/>
          <w:bCs/>
          <w:sz w:val="36"/>
          <w:szCs w:val="36"/>
        </w:rPr>
      </w:pPr>
      <w:r>
        <w:rPr>
          <w:rFonts w:hint="eastAsia" w:ascii="宋体" w:hAnsi="宋体" w:cs="Times New Roman"/>
          <w:b/>
          <w:bCs/>
          <w:sz w:val="36"/>
          <w:szCs w:val="36"/>
        </w:rPr>
        <w:t>技术标准</w:t>
      </w:r>
    </w:p>
    <w:p w14:paraId="32639D8C">
      <w:pPr>
        <w:jc w:val="center"/>
        <w:rPr>
          <w:rFonts w:eastAsia="黑体" w:cs="Times New Roman"/>
          <w:b/>
          <w:bCs/>
          <w:sz w:val="28"/>
        </w:rPr>
      </w:pPr>
      <w:r>
        <w:rPr>
          <w:rFonts w:eastAsia="黑体" w:cs="Times New Roman"/>
          <w:b/>
          <w:bCs/>
          <w:sz w:val="28"/>
        </w:rPr>
        <w:t>Technical standard for informatization of prefabricated component production and installation in prefabricated buildings</w:t>
      </w:r>
    </w:p>
    <w:p w14:paraId="329FDA07">
      <w:pPr>
        <w:jc w:val="center"/>
        <w:rPr>
          <w:color w:val="000000"/>
          <w:szCs w:val="28"/>
        </w:rPr>
      </w:pPr>
    </w:p>
    <w:p w14:paraId="397C1409">
      <w:pPr>
        <w:ind w:right="560"/>
        <w:rPr>
          <w:color w:val="000000"/>
          <w:sz w:val="32"/>
          <w:szCs w:val="32"/>
        </w:rPr>
      </w:pPr>
    </w:p>
    <w:p w14:paraId="681980C6">
      <w:pPr>
        <w:ind w:right="560"/>
        <w:rPr>
          <w:color w:val="000000"/>
          <w:sz w:val="32"/>
          <w:szCs w:val="32"/>
        </w:rPr>
      </w:pPr>
    </w:p>
    <w:p w14:paraId="356E0E29">
      <w:pPr>
        <w:ind w:right="560"/>
        <w:rPr>
          <w:color w:val="000000"/>
          <w:sz w:val="32"/>
          <w:szCs w:val="32"/>
        </w:rPr>
      </w:pPr>
    </w:p>
    <w:p w14:paraId="5A2219C1">
      <w:pPr>
        <w:jc w:val="center"/>
        <w:rPr>
          <w:color w:val="000000"/>
          <w:sz w:val="32"/>
          <w:szCs w:val="32"/>
        </w:rPr>
      </w:pPr>
      <w:r>
        <w:rPr>
          <w:rFonts w:eastAsia="黑体"/>
          <w:b/>
          <w:color w:val="000000"/>
          <w:sz w:val="28"/>
          <w:szCs w:val="28"/>
        </w:rPr>
        <w:t>DBJ/T-xxx-20</w:t>
      </w:r>
      <w:r>
        <w:rPr>
          <w:color w:val="000000"/>
          <w:szCs w:val="28"/>
        </w:rPr>
        <w:t>XX</w:t>
      </w:r>
    </w:p>
    <w:p w14:paraId="6942D94D">
      <w:pPr>
        <w:rPr>
          <w:color w:val="000000"/>
          <w:szCs w:val="24"/>
        </w:rPr>
      </w:pPr>
    </w:p>
    <w:p w14:paraId="44975728">
      <w:pPr>
        <w:jc w:val="center"/>
        <w:rPr>
          <w:b/>
          <w:color w:val="000000"/>
          <w:sz w:val="32"/>
          <w:szCs w:val="32"/>
        </w:rPr>
      </w:pPr>
    </w:p>
    <w:p w14:paraId="7CF780DB">
      <w:pPr>
        <w:jc w:val="center"/>
        <w:rPr>
          <w:b/>
          <w:color w:val="000000"/>
          <w:sz w:val="32"/>
          <w:szCs w:val="32"/>
        </w:rPr>
      </w:pPr>
    </w:p>
    <w:p w14:paraId="3E173DE8">
      <w:pPr>
        <w:rPr>
          <w:b/>
          <w:color w:val="000000"/>
          <w:sz w:val="32"/>
          <w:szCs w:val="32"/>
        </w:rPr>
      </w:pPr>
    </w:p>
    <w:p w14:paraId="1CAEB9EF">
      <w:pPr>
        <w:rPr>
          <w:color w:val="000000"/>
          <w:szCs w:val="28"/>
        </w:rPr>
      </w:pPr>
      <w:r>
        <w:rPr>
          <w:color w:val="000000"/>
          <w:szCs w:val="28"/>
        </w:rPr>
        <w:t xml:space="preserve">                       主编单位：重庆建工</w:t>
      </w:r>
      <w:r>
        <w:rPr>
          <w:rFonts w:hint="eastAsia"/>
          <w:color w:val="000000"/>
          <w:szCs w:val="28"/>
        </w:rPr>
        <w:t>集团股份有限公司</w:t>
      </w:r>
    </w:p>
    <w:p w14:paraId="761FD8B1">
      <w:pPr>
        <w:rPr>
          <w:color w:val="000000"/>
          <w:szCs w:val="28"/>
        </w:rPr>
      </w:pPr>
      <w:r>
        <w:rPr>
          <w:rFonts w:hint="eastAsia"/>
          <w:color w:val="000000"/>
          <w:szCs w:val="28"/>
        </w:rPr>
        <w:t xml:space="preserve">                                 </w:t>
      </w:r>
      <w:r>
        <w:rPr>
          <w:color w:val="000000"/>
          <w:szCs w:val="28"/>
        </w:rPr>
        <w:t>重庆建工</w:t>
      </w:r>
      <w:r>
        <w:rPr>
          <w:rFonts w:hint="eastAsia"/>
          <w:color w:val="000000"/>
          <w:szCs w:val="28"/>
        </w:rPr>
        <w:t>第三建设有限责任公司</w:t>
      </w:r>
    </w:p>
    <w:p w14:paraId="3EC8FA75">
      <w:pPr>
        <w:rPr>
          <w:color w:val="000000"/>
          <w:szCs w:val="28"/>
        </w:rPr>
      </w:pPr>
      <w:r>
        <w:rPr>
          <w:color w:val="000000"/>
          <w:szCs w:val="28"/>
        </w:rPr>
        <w:t xml:space="preserve">                       批准部门：重庆市城乡建设委员会  </w:t>
      </w:r>
    </w:p>
    <w:p w14:paraId="3F3D3398">
      <w:pPr>
        <w:rPr>
          <w:b/>
          <w:sz w:val="24"/>
          <w:szCs w:val="24"/>
        </w:rPr>
        <w:sectPr>
          <w:pgSz w:w="11906" w:h="16838"/>
          <w:pgMar w:top="1440" w:right="1800" w:bottom="1440" w:left="1800" w:header="851" w:footer="992" w:gutter="0"/>
          <w:pgNumType w:start="1"/>
          <w:cols w:space="720" w:num="1"/>
          <w:docGrid w:type="lines" w:linePitch="312" w:charSpace="0"/>
        </w:sectPr>
      </w:pPr>
      <w:r>
        <w:rPr>
          <w:color w:val="000000"/>
          <w:szCs w:val="28"/>
        </w:rPr>
        <w:t xml:space="preserve">                       施行日期：20XX年XX月XX日     </w:t>
      </w:r>
    </w:p>
    <w:p w14:paraId="29F126EF">
      <w:pPr>
        <w:jc w:val="center"/>
        <w:textAlignment w:val="baseline"/>
        <w:rPr>
          <w:rFonts w:cs="Times New Roman"/>
          <w:b/>
          <w:kern w:val="0"/>
          <w:sz w:val="32"/>
          <w:szCs w:val="32"/>
        </w:rPr>
      </w:pPr>
    </w:p>
    <w:p w14:paraId="236F7B10">
      <w:pPr>
        <w:jc w:val="center"/>
        <w:textAlignment w:val="baseline"/>
        <w:rPr>
          <w:rFonts w:cs="Times New Roman"/>
          <w:b/>
          <w:kern w:val="0"/>
          <w:sz w:val="28"/>
          <w:szCs w:val="28"/>
        </w:rPr>
      </w:pPr>
      <w:r>
        <w:rPr>
          <w:rFonts w:cs="Times New Roman"/>
          <w:b/>
          <w:kern w:val="0"/>
          <w:sz w:val="28"/>
          <w:szCs w:val="28"/>
        </w:rPr>
        <w:t>前言</w:t>
      </w:r>
    </w:p>
    <w:p w14:paraId="06D0DF4C">
      <w:pPr>
        <w:ind w:firstLine="420" w:firstLineChars="200"/>
        <w:textAlignment w:val="baseline"/>
        <w:rPr>
          <w:rFonts w:hint="eastAsia" w:ascii="宋体" w:hAnsi="宋体" w:cs="宋体"/>
          <w:kern w:val="0"/>
          <w:szCs w:val="21"/>
        </w:rPr>
      </w:pPr>
      <w:r>
        <w:rPr>
          <w:rFonts w:hint="eastAsia" w:ascii="宋体" w:hAnsi="宋体" w:cs="宋体"/>
          <w:kern w:val="0"/>
          <w:szCs w:val="21"/>
        </w:rPr>
        <w:t>为保证预制混凝土构件的安全应用，促进装配式结构健康发展，根据重庆市</w:t>
      </w:r>
      <w:r>
        <w:rPr>
          <w:rFonts w:hint="eastAsia" w:ascii="宋体" w:hAnsi="宋体" w:cs="宋体"/>
          <w:kern w:val="0"/>
          <w:szCs w:val="21"/>
          <w:lang w:eastAsia="zh-Hans"/>
        </w:rPr>
        <w:t>住房和</w:t>
      </w:r>
      <w:r>
        <w:rPr>
          <w:rFonts w:hint="eastAsia" w:ascii="宋体" w:hAnsi="宋体" w:cs="宋体"/>
          <w:kern w:val="0"/>
          <w:szCs w:val="21"/>
        </w:rPr>
        <w:t>城乡建设委员会《关于下达2023年度重庆市工程建设标准制订、修订项目立项计划的通知》（渝建标〔2023〕31号）的要求，标准编制组开展了广泛的调查研究，认真总结实践经验，参考国家和其它省市地方</w:t>
      </w:r>
      <w:r>
        <w:rPr>
          <w:rFonts w:hint="eastAsia" w:ascii="宋体" w:hAnsi="宋体" w:cs="宋体"/>
          <w:kern w:val="0"/>
          <w:szCs w:val="21"/>
          <w:lang w:eastAsia="zh-Hans"/>
        </w:rPr>
        <w:t>有关</w:t>
      </w:r>
      <w:r>
        <w:rPr>
          <w:rFonts w:hint="eastAsia" w:ascii="宋体" w:hAnsi="宋体" w:cs="宋体"/>
          <w:kern w:val="0"/>
          <w:szCs w:val="21"/>
        </w:rPr>
        <w:t>标准，并在广泛征求意见的基础上，</w:t>
      </w:r>
      <w:r>
        <w:rPr>
          <w:rFonts w:hint="eastAsia" w:ascii="宋体" w:hAnsi="宋体" w:cs="宋体"/>
          <w:kern w:val="0"/>
          <w:szCs w:val="21"/>
          <w:lang w:val="en-US" w:eastAsia="zh-CN"/>
        </w:rPr>
        <w:t>对《装配式住宅构件生产和安装信息化技术导则》DBJ50/T-191-2014进行</w:t>
      </w:r>
      <w:r>
        <w:rPr>
          <w:rFonts w:hint="eastAsia" w:ascii="宋体" w:hAnsi="宋体" w:cs="宋体"/>
          <w:kern w:val="0"/>
          <w:szCs w:val="21"/>
        </w:rPr>
        <w:t>修订。</w:t>
      </w:r>
    </w:p>
    <w:p w14:paraId="161308DB">
      <w:pPr>
        <w:widowControl/>
        <w:ind w:firstLine="420" w:firstLineChars="200"/>
        <w:jc w:val="left"/>
        <w:textAlignment w:val="baseline"/>
        <w:rPr>
          <w:rFonts w:hint="eastAsia" w:ascii="宋体" w:hAnsi="宋体" w:cs="宋体"/>
          <w:szCs w:val="21"/>
        </w:rPr>
      </w:pPr>
      <w:r>
        <w:rPr>
          <w:rFonts w:hint="eastAsia" w:ascii="宋体" w:hAnsi="宋体" w:cs="宋体"/>
          <w:kern w:val="0"/>
          <w:szCs w:val="21"/>
        </w:rPr>
        <w:t>本</w:t>
      </w:r>
      <w:r>
        <w:rPr>
          <w:rFonts w:hint="eastAsia" w:ascii="宋体" w:hAnsi="宋体" w:cs="宋体"/>
          <w:szCs w:val="21"/>
        </w:rPr>
        <w:t>标准的主要技术内容包括：总则；术语；基本规定；信息编码；信息管理；</w:t>
      </w:r>
      <w:r>
        <w:rPr>
          <w:rFonts w:hint="eastAsia" w:ascii="宋体" w:hAnsi="宋体" w:cs="宋体"/>
          <w:bCs/>
          <w:szCs w:val="21"/>
          <w:lang w:eastAsia="zh-Hans"/>
        </w:rPr>
        <w:t>系统管理</w:t>
      </w:r>
      <w:r>
        <w:rPr>
          <w:rFonts w:hint="eastAsia" w:ascii="宋体" w:hAnsi="宋体" w:cs="宋体"/>
          <w:szCs w:val="21"/>
        </w:rPr>
        <w:t>。</w:t>
      </w:r>
    </w:p>
    <w:p w14:paraId="30D60E73">
      <w:pPr>
        <w:widowControl/>
        <w:ind w:firstLine="420" w:firstLineChars="200"/>
        <w:jc w:val="left"/>
        <w:textAlignment w:val="baseline"/>
        <w:rPr>
          <w:rFonts w:hint="eastAsia" w:ascii="宋体" w:hAnsi="宋体" w:cs="宋体"/>
          <w:szCs w:val="21"/>
          <w:lang w:val="en-US" w:eastAsia="zh-CN"/>
        </w:rPr>
      </w:pPr>
      <w:r>
        <w:rPr>
          <w:rFonts w:hint="eastAsia" w:ascii="宋体" w:hAnsi="宋体" w:cs="宋体"/>
          <w:szCs w:val="21"/>
          <w:lang w:val="en-US" w:eastAsia="zh-CN"/>
        </w:rPr>
        <w:t>本标准修订的主要内容：</w:t>
      </w:r>
    </w:p>
    <w:p w14:paraId="78C17924">
      <w:pPr>
        <w:widowControl/>
        <w:ind w:firstLine="420" w:firstLineChars="200"/>
        <w:jc w:val="left"/>
        <w:textAlignment w:val="baseline"/>
        <w:rPr>
          <w:rFonts w:hint="default" w:ascii="宋体" w:hAnsi="宋体" w:cs="宋体"/>
          <w:szCs w:val="21"/>
          <w:lang w:val="en-US" w:eastAsia="zh-CN"/>
        </w:rPr>
      </w:pPr>
      <w:r>
        <w:rPr>
          <w:rFonts w:hint="eastAsia" w:ascii="宋体" w:hAnsi="宋体" w:cs="宋体"/>
          <w:szCs w:val="21"/>
          <w:lang w:val="en-US" w:eastAsia="zh-CN"/>
        </w:rPr>
        <w:t>1、原标准第6章信息编码移至第4章。</w:t>
      </w:r>
    </w:p>
    <w:p w14:paraId="58B7D202">
      <w:pPr>
        <w:widowControl/>
        <w:ind w:firstLine="420" w:firstLineChars="200"/>
        <w:jc w:val="left"/>
        <w:textAlignment w:val="baseline"/>
        <w:rPr>
          <w:rFonts w:hint="eastAsia" w:ascii="宋体" w:hAnsi="宋体" w:cs="宋体"/>
          <w:szCs w:val="21"/>
          <w:lang w:val="en-US" w:eastAsia="zh-CN"/>
        </w:rPr>
      </w:pPr>
      <w:r>
        <w:rPr>
          <w:rFonts w:hint="eastAsia" w:ascii="宋体" w:hAnsi="宋体" w:cs="宋体"/>
          <w:szCs w:val="21"/>
          <w:lang w:val="en-US" w:eastAsia="zh-CN"/>
        </w:rPr>
        <w:t>2、原标准4.2节、4.3节、4.4节、4.5节、4.6节、4.7节、4.8节调整为5.2节、5.3节和5.4节。</w:t>
      </w:r>
    </w:p>
    <w:p w14:paraId="4015543C">
      <w:pPr>
        <w:widowControl/>
        <w:ind w:firstLine="420" w:firstLineChars="200"/>
        <w:jc w:val="left"/>
        <w:textAlignment w:val="baseline"/>
        <w:rPr>
          <w:rFonts w:hint="eastAsia" w:ascii="宋体" w:hAnsi="宋体" w:cs="宋体"/>
          <w:szCs w:val="21"/>
          <w:lang w:val="en-US" w:eastAsia="zh-CN"/>
        </w:rPr>
      </w:pPr>
      <w:r>
        <w:rPr>
          <w:rFonts w:hint="eastAsia" w:ascii="宋体" w:hAnsi="宋体" w:cs="宋体"/>
          <w:szCs w:val="21"/>
          <w:lang w:val="en-US" w:eastAsia="zh-CN"/>
        </w:rPr>
        <w:t>3、原标准5.2节、5.3节调整为6.2节。</w:t>
      </w:r>
    </w:p>
    <w:p w14:paraId="4C7800A9">
      <w:pPr>
        <w:widowControl/>
        <w:ind w:firstLine="420" w:firstLineChars="200"/>
        <w:jc w:val="left"/>
        <w:textAlignment w:val="baseline"/>
        <w:rPr>
          <w:rFonts w:hint="eastAsia" w:ascii="宋体" w:hAnsi="宋体" w:cs="宋体"/>
          <w:szCs w:val="21"/>
          <w:lang w:val="en-US" w:eastAsia="zh-CN"/>
        </w:rPr>
      </w:pPr>
      <w:r>
        <w:rPr>
          <w:rFonts w:hint="eastAsia" w:ascii="宋体" w:hAnsi="宋体" w:cs="宋体"/>
          <w:szCs w:val="21"/>
          <w:lang w:val="en-US" w:eastAsia="zh-CN"/>
        </w:rPr>
        <w:t>4、原标准5.4节运行维护及安全管理调整为6.3节信息安全。</w:t>
      </w:r>
    </w:p>
    <w:p w14:paraId="5DDC3C78">
      <w:pPr>
        <w:widowControl/>
        <w:ind w:firstLine="420" w:firstLineChars="200"/>
        <w:jc w:val="left"/>
        <w:textAlignment w:val="baseline"/>
        <w:rPr>
          <w:rFonts w:hint="eastAsia" w:ascii="宋体" w:hAnsi="宋体" w:cs="宋体"/>
          <w:szCs w:val="21"/>
          <w:lang w:val="en-US" w:eastAsia="zh-CN"/>
        </w:rPr>
      </w:pPr>
      <w:r>
        <w:rPr>
          <w:rFonts w:hint="eastAsia" w:ascii="宋体" w:hAnsi="宋体" w:cs="宋体"/>
          <w:szCs w:val="21"/>
          <w:lang w:val="en-US" w:eastAsia="zh-CN"/>
        </w:rPr>
        <w:t>5、原标准6.2节、6.3节、6.4节合并调整为4.2节。</w:t>
      </w:r>
    </w:p>
    <w:p w14:paraId="4B3886EA">
      <w:pPr>
        <w:widowControl/>
        <w:ind w:firstLine="420" w:firstLineChars="200"/>
        <w:jc w:val="left"/>
        <w:textAlignment w:val="baseline"/>
        <w:rPr>
          <w:rFonts w:hint="default" w:ascii="宋体" w:hAnsi="宋体" w:cs="宋体"/>
          <w:szCs w:val="21"/>
          <w:lang w:val="en-US" w:eastAsia="zh-CN"/>
        </w:rPr>
      </w:pPr>
      <w:r>
        <w:rPr>
          <w:rFonts w:hint="eastAsia" w:ascii="宋体" w:hAnsi="宋体" w:cs="宋体"/>
          <w:szCs w:val="21"/>
          <w:lang w:val="en-US" w:eastAsia="zh-CN"/>
        </w:rPr>
        <w:t>6、新增附录A。</w:t>
      </w:r>
    </w:p>
    <w:p w14:paraId="73476D68">
      <w:pPr>
        <w:ind w:firstLine="420" w:firstLineChars="200"/>
        <w:textAlignment w:val="baseline"/>
        <w:rPr>
          <w:rFonts w:hint="eastAsia" w:ascii="宋体" w:hAnsi="宋体" w:cs="宋体"/>
          <w:kern w:val="0"/>
          <w:szCs w:val="21"/>
        </w:rPr>
      </w:pPr>
      <w:r>
        <w:rPr>
          <w:rFonts w:hint="eastAsia" w:ascii="宋体" w:hAnsi="宋体" w:cs="宋体"/>
          <w:kern w:val="0"/>
          <w:szCs w:val="21"/>
        </w:rPr>
        <w:t>本标准由重庆市</w:t>
      </w:r>
      <w:r>
        <w:rPr>
          <w:rFonts w:hint="eastAsia" w:ascii="宋体" w:hAnsi="宋体" w:cs="宋体"/>
          <w:kern w:val="0"/>
          <w:szCs w:val="21"/>
          <w:lang w:eastAsia="zh-Hans"/>
        </w:rPr>
        <w:t>住房和</w:t>
      </w:r>
      <w:r>
        <w:rPr>
          <w:rFonts w:hint="eastAsia" w:ascii="宋体" w:hAnsi="宋体" w:cs="宋体"/>
          <w:kern w:val="0"/>
          <w:szCs w:val="21"/>
        </w:rPr>
        <w:t>城乡建设委员会负责管理，重庆建工集团股份有限公司负责技术内容的解释。本技术标准的实施、应用过程中，希望各单位注意收集资料，总结经验，并将有关意见和建议反馈给重庆建工集团股</w:t>
      </w:r>
      <w:r>
        <w:rPr>
          <w:rFonts w:hint="eastAsia" w:ascii="宋体" w:hAnsi="宋体" w:cs="宋体"/>
          <w:color w:val="auto"/>
          <w:kern w:val="0"/>
          <w:szCs w:val="21"/>
        </w:rPr>
        <w:t>份有限公司（地址：</w:t>
      </w:r>
      <w:r>
        <w:rPr>
          <w:rFonts w:hint="eastAsia" w:ascii="宋体" w:hAnsi="宋体" w:cs="宋体"/>
          <w:color w:val="auto"/>
          <w:kern w:val="0"/>
          <w:szCs w:val="21"/>
          <w:lang w:val="en-US" w:eastAsia="zh-CN"/>
        </w:rPr>
        <w:t>重庆市两江新区金开大道1596号</w:t>
      </w:r>
      <w:r>
        <w:rPr>
          <w:rFonts w:hint="eastAsia" w:ascii="宋体" w:hAnsi="宋体" w:cs="宋体"/>
          <w:color w:val="auto"/>
          <w:kern w:val="0"/>
          <w:szCs w:val="21"/>
        </w:rPr>
        <w:t>；邮编：</w:t>
      </w:r>
      <w:r>
        <w:rPr>
          <w:rFonts w:hint="eastAsia" w:ascii="宋体" w:hAnsi="宋体" w:cs="宋体"/>
          <w:color w:val="auto"/>
          <w:kern w:val="0"/>
          <w:szCs w:val="21"/>
          <w:lang w:val="en-US" w:eastAsia="zh-CN"/>
        </w:rPr>
        <w:t>401122；</w:t>
      </w:r>
      <w:r>
        <w:t>电话：023-48642645</w:t>
      </w:r>
      <w:r>
        <w:rPr>
          <w:rFonts w:hint="eastAsia" w:ascii="宋体" w:hAnsi="宋体" w:cs="宋体"/>
          <w:color w:val="auto"/>
          <w:kern w:val="0"/>
          <w:szCs w:val="21"/>
        </w:rPr>
        <w:t>），以便今后修订时参考。</w:t>
      </w:r>
    </w:p>
    <w:p w14:paraId="427FDF78">
      <w:pPr>
        <w:tabs>
          <w:tab w:val="left" w:pos="360"/>
        </w:tabs>
        <w:ind w:firstLine="420"/>
        <w:textAlignment w:val="baseline"/>
        <w:rPr>
          <w:rFonts w:hint="eastAsia" w:ascii="宋体" w:hAnsi="宋体" w:cs="宋体"/>
          <w:kern w:val="0"/>
          <w:szCs w:val="21"/>
        </w:rPr>
      </w:pPr>
      <w:r>
        <w:rPr>
          <w:rFonts w:hint="eastAsia" w:ascii="宋体" w:hAnsi="宋体" w:cs="宋体"/>
          <w:kern w:val="0"/>
          <w:szCs w:val="21"/>
        </w:rPr>
        <w:t>本标准主编单位：重庆建工集团股份有限公司</w:t>
      </w:r>
    </w:p>
    <w:p w14:paraId="3EACD5A9">
      <w:pPr>
        <w:tabs>
          <w:tab w:val="left" w:pos="360"/>
        </w:tabs>
        <w:ind w:left="2092" w:leftChars="996" w:firstLine="7" w:firstLineChars="0"/>
        <w:textAlignment w:val="baseline"/>
        <w:rPr>
          <w:rFonts w:hint="default" w:ascii="宋体" w:hAnsi="宋体" w:eastAsia="宋体" w:cs="宋体"/>
          <w:kern w:val="0"/>
          <w:szCs w:val="21"/>
          <w:lang w:val="en-US" w:eastAsia="zh-CN"/>
        </w:rPr>
      </w:pPr>
      <w:r>
        <w:rPr>
          <w:rFonts w:hint="eastAsia" w:ascii="宋体" w:hAnsi="宋体" w:cs="宋体"/>
          <w:kern w:val="0"/>
          <w:szCs w:val="21"/>
          <w:lang w:val="en-US" w:eastAsia="zh-CN"/>
        </w:rPr>
        <w:t>重庆建工第三建设有限责任公司</w:t>
      </w:r>
    </w:p>
    <w:p w14:paraId="078D90C9">
      <w:pPr>
        <w:ind w:right="420" w:firstLine="420" w:firstLineChars="200"/>
        <w:textAlignment w:val="baseline"/>
        <w:rPr>
          <w:rFonts w:hint="eastAsia" w:ascii="宋体" w:hAnsi="宋体" w:cs="宋体"/>
          <w:spacing w:val="24"/>
          <w:kern w:val="0"/>
          <w:szCs w:val="21"/>
        </w:rPr>
      </w:pPr>
      <w:r>
        <w:rPr>
          <w:rFonts w:hint="eastAsia" w:ascii="宋体" w:hAnsi="宋体" w:cs="宋体"/>
          <w:kern w:val="0"/>
          <w:szCs w:val="21"/>
        </w:rPr>
        <w:t>本标准参编单位</w:t>
      </w:r>
      <w:r>
        <w:rPr>
          <w:rFonts w:hint="eastAsia" w:ascii="宋体" w:hAnsi="宋体" w:cs="宋体"/>
          <w:spacing w:val="24"/>
          <w:kern w:val="0"/>
          <w:szCs w:val="21"/>
        </w:rPr>
        <w:t>：</w:t>
      </w:r>
    </w:p>
    <w:p w14:paraId="5CF82112">
      <w:pPr>
        <w:ind w:right="420" w:firstLine="516" w:firstLineChars="200"/>
        <w:textAlignment w:val="baseline"/>
        <w:rPr>
          <w:rFonts w:hint="eastAsia" w:ascii="宋体" w:hAnsi="宋体" w:cs="宋体"/>
          <w:spacing w:val="24"/>
          <w:kern w:val="0"/>
          <w:szCs w:val="21"/>
        </w:rPr>
      </w:pPr>
    </w:p>
    <w:p w14:paraId="36199644">
      <w:pPr>
        <w:ind w:right="420" w:firstLine="420" w:firstLineChars="200"/>
        <w:textAlignment w:val="baseline"/>
        <w:rPr>
          <w:rFonts w:hint="eastAsia" w:ascii="宋体" w:hAnsi="宋体" w:cs="宋体"/>
          <w:kern w:val="0"/>
          <w:szCs w:val="21"/>
        </w:rPr>
      </w:pPr>
      <w:r>
        <w:rPr>
          <w:rFonts w:hint="eastAsia" w:ascii="宋体" w:hAnsi="宋体" w:cs="宋体"/>
          <w:kern w:val="0"/>
          <w:szCs w:val="21"/>
        </w:rPr>
        <w:t>本标准主要起草人员：</w:t>
      </w:r>
    </w:p>
    <w:p w14:paraId="0EA689AB">
      <w:pPr>
        <w:ind w:right="420" w:firstLine="2520" w:firstLineChars="1200"/>
        <w:textAlignment w:val="baseline"/>
        <w:rPr>
          <w:rFonts w:hint="eastAsia" w:ascii="宋体" w:hAnsi="宋体" w:cs="宋体"/>
          <w:kern w:val="0"/>
          <w:szCs w:val="21"/>
        </w:rPr>
      </w:pPr>
    </w:p>
    <w:p w14:paraId="25FC2C3B">
      <w:pPr>
        <w:ind w:right="420" w:firstLine="420" w:firstLineChars="200"/>
        <w:textAlignment w:val="baseline"/>
        <w:rPr>
          <w:rFonts w:hint="eastAsia" w:ascii="宋体" w:hAnsi="宋体" w:cs="宋体"/>
          <w:kern w:val="0"/>
          <w:szCs w:val="21"/>
        </w:rPr>
      </w:pPr>
      <w:r>
        <w:rPr>
          <w:rFonts w:hint="eastAsia" w:ascii="宋体" w:hAnsi="宋体" w:cs="宋体"/>
          <w:kern w:val="0"/>
          <w:szCs w:val="21"/>
        </w:rPr>
        <w:t>本规程主要审查人员：</w:t>
      </w:r>
    </w:p>
    <w:p w14:paraId="5639955F">
      <w:pPr>
        <w:textAlignment w:val="baseline"/>
        <w:rPr>
          <w:rFonts w:eastAsia="方正仿宋_GBK" w:cs="Times New Roman"/>
          <w:kern w:val="0"/>
          <w:sz w:val="28"/>
          <w:szCs w:val="28"/>
        </w:rPr>
      </w:pPr>
    </w:p>
    <w:p w14:paraId="7A24315A">
      <w:pPr>
        <w:pStyle w:val="47"/>
      </w:pPr>
    </w:p>
    <w:p w14:paraId="598653B6">
      <w:pPr>
        <w:pStyle w:val="47"/>
      </w:pPr>
    </w:p>
    <w:p w14:paraId="11465D70">
      <w:pPr>
        <w:pStyle w:val="47"/>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b/>
          <w:bCs/>
          <w:color w:val="auto"/>
          <w:kern w:val="2"/>
          <w:sz w:val="28"/>
          <w:szCs w:val="28"/>
          <w:lang w:val="zh-CN"/>
        </w:rPr>
        <w:id w:val="1859929292"/>
        <w:docPartObj>
          <w:docPartGallery w:val="Table of Contents"/>
          <w:docPartUnique/>
        </w:docPartObj>
      </w:sdtPr>
      <w:sdtEndPr>
        <w:rPr>
          <w:rFonts w:ascii="Times New Roman" w:hAnsi="Times New Roman" w:eastAsia="宋体" w:cstheme="minorBidi"/>
          <w:b/>
          <w:bCs/>
          <w:color w:val="auto"/>
          <w:kern w:val="2"/>
          <w:sz w:val="21"/>
          <w:szCs w:val="22"/>
          <w:lang w:val="zh-CN"/>
        </w:rPr>
      </w:sdtEndPr>
      <w:sdtContent>
        <w:p w14:paraId="537B4FE1">
          <w:pPr>
            <w:pStyle w:val="59"/>
            <w:jc w:val="center"/>
            <w:rPr>
              <w:rFonts w:hint="eastAsia" w:ascii="宋体" w:hAnsi="宋体" w:eastAsia="宋体"/>
              <w:b/>
              <w:bCs/>
              <w:color w:val="auto"/>
              <w:sz w:val="28"/>
              <w:szCs w:val="28"/>
            </w:rPr>
          </w:pPr>
          <w:r>
            <w:rPr>
              <w:rFonts w:hint="eastAsia" w:ascii="宋体" w:hAnsi="宋体" w:eastAsia="宋体"/>
              <w:b/>
              <w:bCs/>
              <w:color w:val="auto"/>
              <w:sz w:val="28"/>
              <w:szCs w:val="28"/>
              <w:lang w:val="zh-CN"/>
            </w:rPr>
            <w:t>目次</w:t>
          </w:r>
        </w:p>
        <w:p w14:paraId="3CB43B70">
          <w:pPr>
            <w:pStyle w:val="16"/>
            <w:rPr>
              <w:rFonts w:hint="eastAsia" w:asciiTheme="minorHAnsi" w:hAnsiTheme="minorHAnsi" w:eastAsiaTheme="minorEastAsia"/>
              <w:sz w:val="22"/>
              <w:szCs w:val="24"/>
              <w14:ligatures w14:val="standardContextual"/>
            </w:rPr>
          </w:pPr>
          <w:r>
            <w:fldChar w:fldCharType="begin"/>
          </w:r>
          <w:r>
            <w:instrText xml:space="preserve"> TOC \o "1-3" \h \z \u </w:instrText>
          </w:r>
          <w:r>
            <w:fldChar w:fldCharType="separate"/>
          </w:r>
          <w:r>
            <w:fldChar w:fldCharType="begin"/>
          </w:r>
          <w:r>
            <w:instrText xml:space="preserve"> HYPERLINK \l "_Toc219878986" </w:instrText>
          </w:r>
          <w:r>
            <w:fldChar w:fldCharType="separate"/>
          </w:r>
          <w:r>
            <w:rPr>
              <w:rStyle w:val="25"/>
              <w:rFonts w:hint="eastAsia"/>
            </w:rPr>
            <w:t>1总则</w:t>
          </w:r>
          <w:r>
            <w:rPr>
              <w:rFonts w:hint="eastAsia"/>
            </w:rPr>
            <w:tab/>
          </w:r>
          <w:r>
            <w:rPr>
              <w:rFonts w:hint="eastAsia"/>
            </w:rPr>
            <w:fldChar w:fldCharType="begin"/>
          </w:r>
          <w:r>
            <w:rPr>
              <w:rFonts w:hint="eastAsia"/>
            </w:rPr>
            <w:instrText xml:space="preserve"> </w:instrText>
          </w:r>
          <w:r>
            <w:instrText xml:space="preserve">PAGEREF _Toc219878986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9590337">
          <w:pPr>
            <w:pStyle w:val="16"/>
            <w:rPr>
              <w:rFonts w:hint="eastAsia" w:asciiTheme="minorHAnsi" w:hAnsiTheme="minorHAnsi" w:eastAsiaTheme="minorEastAsia"/>
              <w:sz w:val="22"/>
              <w:szCs w:val="24"/>
              <w14:ligatures w14:val="standardContextual"/>
            </w:rPr>
          </w:pPr>
          <w:r>
            <w:fldChar w:fldCharType="begin"/>
          </w:r>
          <w:r>
            <w:instrText xml:space="preserve"> HYPERLINK \l "_Toc219878987" </w:instrText>
          </w:r>
          <w:r>
            <w:fldChar w:fldCharType="separate"/>
          </w:r>
          <w:r>
            <w:rPr>
              <w:rStyle w:val="25"/>
              <w:rFonts w:hint="eastAsia"/>
            </w:rPr>
            <w:t>2  术语</w:t>
          </w:r>
          <w:r>
            <w:rPr>
              <w:rFonts w:hint="eastAsia"/>
            </w:rPr>
            <w:tab/>
          </w:r>
          <w:r>
            <w:rPr>
              <w:rFonts w:hint="eastAsia"/>
            </w:rPr>
            <w:fldChar w:fldCharType="begin"/>
          </w:r>
          <w:r>
            <w:rPr>
              <w:rFonts w:hint="eastAsia"/>
            </w:rPr>
            <w:instrText xml:space="preserve"> </w:instrText>
          </w:r>
          <w:r>
            <w:instrText xml:space="preserve">PAGEREF _Toc219878987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16DD326B">
          <w:pPr>
            <w:pStyle w:val="16"/>
            <w:rPr>
              <w:rFonts w:hint="eastAsia" w:asciiTheme="minorHAnsi" w:hAnsiTheme="minorHAnsi" w:eastAsiaTheme="minorEastAsia"/>
              <w:sz w:val="22"/>
              <w:szCs w:val="24"/>
              <w14:ligatures w14:val="standardContextual"/>
            </w:rPr>
          </w:pPr>
          <w:r>
            <w:fldChar w:fldCharType="begin"/>
          </w:r>
          <w:r>
            <w:instrText xml:space="preserve"> HYPERLINK \l "_Toc219878988" </w:instrText>
          </w:r>
          <w:r>
            <w:fldChar w:fldCharType="separate"/>
          </w:r>
          <w:r>
            <w:rPr>
              <w:rStyle w:val="25"/>
              <w:rFonts w:hint="eastAsia"/>
            </w:rPr>
            <w:t>3  基本规定</w:t>
          </w:r>
          <w:r>
            <w:rPr>
              <w:rFonts w:hint="eastAsia"/>
            </w:rPr>
            <w:tab/>
          </w:r>
          <w:r>
            <w:rPr>
              <w:rFonts w:hint="eastAsia"/>
            </w:rPr>
            <w:fldChar w:fldCharType="begin"/>
          </w:r>
          <w:r>
            <w:rPr>
              <w:rFonts w:hint="eastAsia"/>
            </w:rPr>
            <w:instrText xml:space="preserve"> </w:instrText>
          </w:r>
          <w:r>
            <w:instrText xml:space="preserve">PAGEREF _Toc219878988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3EE3F9C1">
          <w:pPr>
            <w:pStyle w:val="16"/>
            <w:rPr>
              <w:rFonts w:hint="eastAsia" w:asciiTheme="minorHAnsi" w:hAnsiTheme="minorHAnsi" w:eastAsiaTheme="minorEastAsia"/>
              <w:sz w:val="22"/>
              <w:szCs w:val="24"/>
              <w14:ligatures w14:val="standardContextual"/>
            </w:rPr>
          </w:pPr>
          <w:r>
            <w:fldChar w:fldCharType="begin"/>
          </w:r>
          <w:r>
            <w:instrText xml:space="preserve"> HYPERLINK \l "_Toc219878989" </w:instrText>
          </w:r>
          <w:r>
            <w:fldChar w:fldCharType="separate"/>
          </w:r>
          <w:r>
            <w:rPr>
              <w:rStyle w:val="25"/>
              <w:rFonts w:hint="eastAsia"/>
            </w:rPr>
            <w:t>4  信息编码</w:t>
          </w:r>
          <w:r>
            <w:rPr>
              <w:rFonts w:hint="eastAsia"/>
            </w:rPr>
            <w:tab/>
          </w:r>
          <w:r>
            <w:rPr>
              <w:rFonts w:hint="eastAsia"/>
            </w:rPr>
            <w:fldChar w:fldCharType="begin"/>
          </w:r>
          <w:r>
            <w:rPr>
              <w:rFonts w:hint="eastAsia"/>
            </w:rPr>
            <w:instrText xml:space="preserve"> </w:instrText>
          </w:r>
          <w:r>
            <w:instrText xml:space="preserve">PAGEREF _Toc219878989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4AF13482">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"_Toc219878990" </w:instrText>
          </w:r>
          <w:r>
            <w:fldChar w:fldCharType="separate"/>
          </w:r>
          <w:r>
            <w:rPr>
              <w:rStyle w:val="25"/>
              <w:rFonts w:hint="eastAsia"/>
            </w:rPr>
            <w:t>4.1  一般规定</w:t>
          </w:r>
          <w:r>
            <w:rPr>
              <w:rFonts w:hint="eastAsia"/>
            </w:rPr>
            <w:tab/>
          </w:r>
          <w:r>
            <w:rPr>
              <w:rFonts w:hint="eastAsia"/>
            </w:rPr>
            <w:fldChar w:fldCharType="begin"/>
          </w:r>
          <w:r>
            <w:rPr>
              <w:rFonts w:hint="eastAsia"/>
            </w:rPr>
            <w:instrText xml:space="preserve"> </w:instrText>
          </w:r>
          <w:r>
            <w:instrText xml:space="preserve">PAGEREF _Toc219878990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22783F70">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"_Toc219878991" </w:instrText>
          </w:r>
          <w:r>
            <w:fldChar w:fldCharType="separate"/>
          </w:r>
          <w:r>
            <w:rPr>
              <w:rStyle w:val="25"/>
              <w:rFonts w:hint="eastAsia"/>
            </w:rPr>
            <w:t>4.2  信息编码</w:t>
          </w:r>
          <w:r>
            <w:rPr>
              <w:rFonts w:hint="eastAsia"/>
            </w:rPr>
            <w:tab/>
          </w:r>
          <w:r>
            <w:rPr>
              <w:rFonts w:hint="eastAsia"/>
            </w:rPr>
            <w:fldChar w:fldCharType="begin"/>
          </w:r>
          <w:r>
            <w:rPr>
              <w:rFonts w:hint="eastAsia"/>
            </w:rPr>
            <w:instrText xml:space="preserve"> </w:instrText>
          </w:r>
          <w:r>
            <w:instrText xml:space="preserve">PAGEREF _Toc219878991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7A2667DA">
          <w:pPr>
            <w:pStyle w:val="16"/>
            <w:rPr>
              <w:rFonts w:hint="eastAsia" w:asciiTheme="minorHAnsi" w:hAnsiTheme="minorHAnsi" w:eastAsiaTheme="minorEastAsia"/>
              <w:sz w:val="22"/>
              <w:szCs w:val="24"/>
              <w14:ligatures w14:val="standardContextual"/>
            </w:rPr>
          </w:pPr>
          <w:r>
            <w:fldChar w:fldCharType="begin"/>
          </w:r>
          <w:r>
            <w:instrText xml:space="preserve"> HYPERLINK \l "_Toc219878992" </w:instrText>
          </w:r>
          <w:r>
            <w:fldChar w:fldCharType="separate"/>
          </w:r>
          <w:r>
            <w:rPr>
              <w:rStyle w:val="25"/>
              <w:rFonts w:hint="eastAsia"/>
            </w:rPr>
            <w:t>5  信息化管理</w:t>
          </w:r>
          <w:r>
            <w:rPr>
              <w:rFonts w:hint="eastAsia"/>
            </w:rPr>
            <w:tab/>
          </w:r>
          <w:r>
            <w:rPr>
              <w:rFonts w:hint="eastAsia"/>
            </w:rPr>
            <w:fldChar w:fldCharType="begin"/>
          </w:r>
          <w:r>
            <w:rPr>
              <w:rFonts w:hint="eastAsia"/>
            </w:rPr>
            <w:instrText xml:space="preserve"> </w:instrText>
          </w:r>
          <w:r>
            <w:instrText xml:space="preserve">PAGEREF _Toc219878992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2E6B10EE">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"_Toc219878993" </w:instrText>
          </w:r>
          <w:r>
            <w:fldChar w:fldCharType="separate"/>
          </w:r>
          <w:r>
            <w:rPr>
              <w:rStyle w:val="25"/>
              <w:rFonts w:hint="eastAsia"/>
            </w:rPr>
            <w:t>5.1  一般规定</w:t>
          </w:r>
          <w:r>
            <w:rPr>
              <w:rFonts w:hint="eastAsia"/>
            </w:rPr>
            <w:tab/>
          </w:r>
          <w:r>
            <w:rPr>
              <w:rFonts w:hint="eastAsia"/>
            </w:rPr>
            <w:fldChar w:fldCharType="begin"/>
          </w:r>
          <w:r>
            <w:rPr>
              <w:rFonts w:hint="eastAsia"/>
            </w:rPr>
            <w:instrText xml:space="preserve"> </w:instrText>
          </w:r>
          <w:r>
            <w:instrText xml:space="preserve">PAGEREF _Toc219878993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5C754251">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"_Toc219878994" </w:instrText>
          </w:r>
          <w:r>
            <w:fldChar w:fldCharType="separate"/>
          </w:r>
          <w:r>
            <w:rPr>
              <w:rStyle w:val="25"/>
              <w:rFonts w:hint="eastAsia"/>
            </w:rPr>
            <w:t>5.2  设计管理</w:t>
          </w:r>
          <w:r>
            <w:rPr>
              <w:rFonts w:hint="eastAsia"/>
            </w:rPr>
            <w:tab/>
          </w:r>
          <w:r>
            <w:rPr>
              <w:rFonts w:hint="eastAsia"/>
            </w:rPr>
            <w:fldChar w:fldCharType="begin"/>
          </w:r>
          <w:r>
            <w:rPr>
              <w:rFonts w:hint="eastAsia"/>
            </w:rPr>
            <w:instrText xml:space="preserve"> </w:instrText>
          </w:r>
          <w:r>
            <w:instrText xml:space="preserve">PAGEREF _Toc219878994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197DFEAF">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"_Toc219878995" </w:instrText>
          </w:r>
          <w:r>
            <w:fldChar w:fldCharType="separate"/>
          </w:r>
          <w:r>
            <w:rPr>
              <w:rStyle w:val="25"/>
              <w:rFonts w:hint="eastAsia"/>
            </w:rPr>
            <w:t>5.3  生产管理</w:t>
          </w:r>
          <w:r>
            <w:rPr>
              <w:rFonts w:hint="eastAsia"/>
            </w:rPr>
            <w:tab/>
          </w:r>
          <w:r>
            <w:rPr>
              <w:rFonts w:hint="eastAsia"/>
            </w:rPr>
            <w:fldChar w:fldCharType="begin"/>
          </w:r>
          <w:r>
            <w:rPr>
              <w:rFonts w:hint="eastAsia"/>
            </w:rPr>
            <w:instrText xml:space="preserve"> </w:instrText>
          </w:r>
          <w:r>
            <w:instrText xml:space="preserve">PAGEREF _Toc219878995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11A05093">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"_Toc219878996" </w:instrText>
          </w:r>
          <w:r>
            <w:fldChar w:fldCharType="separate"/>
          </w:r>
          <w:r>
            <w:rPr>
              <w:rStyle w:val="25"/>
              <w:rFonts w:hint="eastAsia"/>
            </w:rPr>
            <w:t>5.4  现场安装管理</w:t>
          </w:r>
          <w:r>
            <w:rPr>
              <w:rFonts w:hint="eastAsia"/>
            </w:rPr>
            <w:tab/>
          </w:r>
          <w:r>
            <w:rPr>
              <w:rFonts w:hint="eastAsia"/>
            </w:rPr>
            <w:fldChar w:fldCharType="begin"/>
          </w:r>
          <w:r>
            <w:rPr>
              <w:rFonts w:hint="eastAsia"/>
            </w:rPr>
            <w:instrText xml:space="preserve"> </w:instrText>
          </w:r>
          <w:r>
            <w:instrText xml:space="preserve">PAGEREF _Toc219878996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4E3FD871">
          <w:pPr>
            <w:pStyle w:val="16"/>
            <w:rPr>
              <w:rFonts w:hint="eastAsia" w:asciiTheme="minorHAnsi" w:hAnsiTheme="minorHAnsi" w:eastAsiaTheme="minorEastAsia"/>
              <w:sz w:val="22"/>
              <w:szCs w:val="24"/>
              <w14:ligatures w14:val="standardContextual"/>
            </w:rPr>
          </w:pPr>
          <w:r>
            <w:fldChar w:fldCharType="begin"/>
          </w:r>
          <w:r>
            <w:instrText xml:space="preserve"> HYPERLINK \l "_Toc219878997" </w:instrText>
          </w:r>
          <w:r>
            <w:fldChar w:fldCharType="separate"/>
          </w:r>
          <w:r>
            <w:rPr>
              <w:rStyle w:val="25"/>
              <w:rFonts w:hint="eastAsia"/>
            </w:rPr>
            <w:t>6  信息系统</w:t>
          </w:r>
          <w:r>
            <w:rPr>
              <w:rFonts w:hint="eastAsia"/>
            </w:rPr>
            <w:tab/>
          </w:r>
          <w:r>
            <w:rPr>
              <w:rFonts w:hint="eastAsia"/>
            </w:rPr>
            <w:fldChar w:fldCharType="begin"/>
          </w:r>
          <w:r>
            <w:rPr>
              <w:rFonts w:hint="eastAsia"/>
            </w:rPr>
            <w:instrText xml:space="preserve"> </w:instrText>
          </w:r>
          <w:r>
            <w:instrText xml:space="preserve">PAGEREF _Toc219878997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025F3402">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"_Toc219878998" </w:instrText>
          </w:r>
          <w:r>
            <w:fldChar w:fldCharType="separate"/>
          </w:r>
          <w:r>
            <w:rPr>
              <w:rStyle w:val="25"/>
              <w:rFonts w:hint="eastAsia"/>
            </w:rPr>
            <w:t>6.1  一般规定</w:t>
          </w:r>
          <w:r>
            <w:rPr>
              <w:rFonts w:hint="eastAsia"/>
            </w:rPr>
            <w:tab/>
          </w:r>
          <w:r>
            <w:rPr>
              <w:rFonts w:hint="eastAsia"/>
            </w:rPr>
            <w:fldChar w:fldCharType="begin"/>
          </w:r>
          <w:r>
            <w:rPr>
              <w:rFonts w:hint="eastAsia"/>
            </w:rPr>
            <w:instrText xml:space="preserve"> </w:instrText>
          </w:r>
          <w:r>
            <w:instrText xml:space="preserve">PAGEREF _Toc219878998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195AD2BF">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"_Toc219878999" </w:instrText>
          </w:r>
          <w:r>
            <w:fldChar w:fldCharType="separate"/>
          </w:r>
          <w:r>
            <w:rPr>
              <w:rStyle w:val="25"/>
              <w:rFonts w:hint="eastAsia"/>
            </w:rPr>
            <w:t>6.2  接口标准</w:t>
          </w:r>
          <w:r>
            <w:rPr>
              <w:rFonts w:hint="eastAsia"/>
            </w:rPr>
            <w:tab/>
          </w:r>
          <w:r>
            <w:rPr>
              <w:rFonts w:hint="eastAsia"/>
            </w:rPr>
            <w:fldChar w:fldCharType="begin"/>
          </w:r>
          <w:r>
            <w:rPr>
              <w:rFonts w:hint="eastAsia"/>
            </w:rPr>
            <w:instrText xml:space="preserve"> </w:instrText>
          </w:r>
          <w:r>
            <w:instrText xml:space="preserve">PAGEREF _Toc219878999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4C53AEB3">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"_Toc219879000" </w:instrText>
          </w:r>
          <w:r>
            <w:fldChar w:fldCharType="separate"/>
          </w:r>
          <w:r>
            <w:rPr>
              <w:rStyle w:val="25"/>
              <w:rFonts w:hint="eastAsia"/>
            </w:rPr>
            <w:t>6.</w:t>
          </w:r>
          <w:r>
            <w:rPr>
              <w:rStyle w:val="25"/>
              <w:rFonts w:hint="eastAsia"/>
              <w:lang w:val="en-US" w:eastAsia="zh-CN"/>
            </w:rPr>
            <w:t>3</w:t>
          </w:r>
          <w:r>
            <w:rPr>
              <w:rStyle w:val="25"/>
              <w:rFonts w:hint="eastAsia"/>
            </w:rPr>
            <w:t xml:space="preserve">  信息安全</w:t>
          </w:r>
          <w:r>
            <w:rPr>
              <w:rFonts w:hint="eastAsia"/>
            </w:rPr>
            <w:tab/>
          </w:r>
          <w:r>
            <w:rPr>
              <w:rFonts w:hint="eastAsia"/>
            </w:rPr>
            <w:fldChar w:fldCharType="begin"/>
          </w:r>
          <w:r>
            <w:rPr>
              <w:rFonts w:hint="eastAsia"/>
            </w:rPr>
            <w:instrText xml:space="preserve"> </w:instrText>
          </w:r>
          <w:r>
            <w:instrText xml:space="preserve">PAGEREF _Toc219879000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4161D42E">
          <w:pPr>
            <w:pStyle w:val="16"/>
            <w:rPr>
              <w:rFonts w:hint="eastAsia" w:asciiTheme="minorHAnsi" w:hAnsiTheme="minorHAnsi" w:eastAsiaTheme="minorEastAsia"/>
              <w:sz w:val="22"/>
              <w:szCs w:val="24"/>
              <w14:ligatures w14:val="standardContextual"/>
            </w:rPr>
          </w:pPr>
          <w:r>
            <w:fldChar w:fldCharType="begin"/>
          </w:r>
          <w:r>
            <w:instrText xml:space="preserve"> HYPERLINK \l "_Toc219879001" </w:instrText>
          </w:r>
          <w:r>
            <w:fldChar w:fldCharType="separate"/>
          </w:r>
          <w:r>
            <w:rPr>
              <w:rStyle w:val="25"/>
              <w:rFonts w:hint="eastAsia"/>
            </w:rPr>
            <w:t>附录A  RFID芯片植入位置</w:t>
          </w:r>
          <w:r>
            <w:rPr>
              <w:rFonts w:hint="eastAsia"/>
            </w:rPr>
            <w:tab/>
          </w:r>
          <w:r>
            <w:rPr>
              <w:rFonts w:hint="eastAsia"/>
            </w:rPr>
            <w:fldChar w:fldCharType="begin"/>
          </w:r>
          <w:r>
            <w:rPr>
              <w:rFonts w:hint="eastAsia"/>
            </w:rPr>
            <w:instrText xml:space="preserve"> </w:instrText>
          </w:r>
          <w:r>
            <w:instrText xml:space="preserve">PAGEREF _Toc219879001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6115C9AB">
          <w:pPr>
            <w:pStyle w:val="16"/>
            <w:rPr>
              <w:rFonts w:hint="eastAsia" w:asciiTheme="minorHAnsi" w:hAnsiTheme="minorHAnsi" w:eastAsiaTheme="minorEastAsia"/>
              <w:sz w:val="22"/>
              <w:szCs w:val="24"/>
              <w14:ligatures w14:val="standardContextual"/>
            </w:rPr>
          </w:pPr>
          <w:r>
            <w:fldChar w:fldCharType="begin"/>
          </w:r>
          <w:r>
            <w:instrText xml:space="preserve"> HYPERLINK \l "_Toc219879002" </w:instrText>
          </w:r>
          <w:r>
            <w:fldChar w:fldCharType="separate"/>
          </w:r>
          <w:r>
            <w:rPr>
              <w:rStyle w:val="25"/>
              <w:rFonts w:hint="eastAsia"/>
            </w:rPr>
            <w:t>附录B  构件类型代码</w:t>
          </w:r>
          <w:r>
            <w:rPr>
              <w:rFonts w:hint="eastAsia"/>
            </w:rPr>
            <w:tab/>
          </w:r>
          <w:r>
            <w:rPr>
              <w:rFonts w:hint="eastAsia"/>
            </w:rPr>
            <w:fldChar w:fldCharType="begin"/>
          </w:r>
          <w:r>
            <w:rPr>
              <w:rFonts w:hint="eastAsia"/>
            </w:rPr>
            <w:instrText xml:space="preserve"> </w:instrText>
          </w:r>
          <w:r>
            <w:instrText xml:space="preserve">PAGEREF _Toc219879002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1BE6809C">
          <w:pPr>
            <w:pStyle w:val="16"/>
            <w:rPr>
              <w:rFonts w:hint="eastAsia" w:asciiTheme="minorHAnsi" w:hAnsiTheme="minorHAnsi" w:eastAsiaTheme="minorEastAsia"/>
              <w:sz w:val="22"/>
              <w:szCs w:val="24"/>
              <w14:ligatures w14:val="standardContextual"/>
            </w:rPr>
          </w:pPr>
          <w:r>
            <w:fldChar w:fldCharType="begin"/>
          </w:r>
          <w:r>
            <w:instrText xml:space="preserve"> HYPERLINK \l "_Toc219879003" </w:instrText>
          </w:r>
          <w:r>
            <w:fldChar w:fldCharType="separate"/>
          </w:r>
          <w:r>
            <w:rPr>
              <w:rStyle w:val="25"/>
              <w:rFonts w:hint="eastAsia"/>
            </w:rPr>
            <w:t>本标准用词说明</w:t>
          </w:r>
          <w:r>
            <w:rPr>
              <w:rFonts w:hint="eastAsia"/>
            </w:rPr>
            <w:tab/>
          </w:r>
          <w:r>
            <w:rPr>
              <w:rFonts w:hint="eastAsia"/>
            </w:rPr>
            <w:fldChar w:fldCharType="begin"/>
          </w:r>
          <w:r>
            <w:rPr>
              <w:rFonts w:hint="eastAsia"/>
            </w:rPr>
            <w:instrText xml:space="preserve"> </w:instrText>
          </w:r>
          <w:r>
            <w:instrText xml:space="preserve">PAGEREF _Toc219879003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74E0B231">
          <w:pPr>
            <w:pStyle w:val="16"/>
            <w:rPr>
              <w:rFonts w:hint="eastAsia" w:asciiTheme="minorHAnsi" w:hAnsiTheme="minorHAnsi" w:eastAsiaTheme="minorEastAsia"/>
              <w:sz w:val="22"/>
              <w:szCs w:val="24"/>
              <w14:ligatures w14:val="standardContextual"/>
            </w:rPr>
          </w:pPr>
          <w:r>
            <w:fldChar w:fldCharType="begin"/>
          </w:r>
          <w:r>
            <w:instrText xml:space="preserve"> HYPERLINK \l "_Toc219879004" </w:instrText>
          </w:r>
          <w:r>
            <w:fldChar w:fldCharType="separate"/>
          </w:r>
          <w:r>
            <w:rPr>
              <w:rStyle w:val="25"/>
              <w:rFonts w:hint="eastAsia"/>
            </w:rPr>
            <w:t>引用标准名录</w:t>
          </w:r>
          <w:r>
            <w:rPr>
              <w:rFonts w:hint="eastAsia"/>
            </w:rPr>
            <w:tab/>
          </w:r>
          <w:r>
            <w:rPr>
              <w:rFonts w:hint="eastAsia"/>
            </w:rPr>
            <w:fldChar w:fldCharType="begin"/>
          </w:r>
          <w:r>
            <w:rPr>
              <w:rFonts w:hint="eastAsia"/>
            </w:rPr>
            <w:instrText xml:space="preserve"> </w:instrText>
          </w:r>
          <w:r>
            <w:instrText xml:space="preserve">PAGEREF _Toc219879004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6B20F39D">
          <w:r>
            <w:rPr>
              <w:b/>
              <w:bCs/>
              <w:lang w:val="zh-CN"/>
            </w:rPr>
            <w:fldChar w:fldCharType="end"/>
          </w:r>
        </w:p>
      </w:sdtContent>
    </w:sdt>
    <w:p w14:paraId="6A2ECAF0">
      <w:pPr>
        <w:pStyle w:val="47"/>
      </w:pPr>
    </w:p>
    <w:p w14:paraId="202C5199">
      <w:pPr>
        <w:pStyle w:val="47"/>
      </w:pPr>
    </w:p>
    <w:p w14:paraId="5F433073">
      <w:pPr>
        <w:pStyle w:val="47"/>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b/>
          <w:bCs/>
          <w:color w:val="auto"/>
          <w:kern w:val="2"/>
          <w:sz w:val="28"/>
          <w:szCs w:val="28"/>
          <w:lang w:val="zh-CN"/>
        </w:rPr>
        <w:id w:val="-875925676"/>
        <w:docPartObj>
          <w:docPartGallery w:val="Table of Contents"/>
          <w:docPartUnique/>
        </w:docPartObj>
      </w:sdtPr>
      <w:sdtEndPr>
        <w:rPr>
          <w:rFonts w:ascii="Times New Roman" w:hAnsi="Times New Roman" w:eastAsia="宋体" w:cstheme="minorBidi"/>
          <w:b/>
          <w:bCs/>
          <w:color w:val="auto"/>
          <w:kern w:val="2"/>
          <w:sz w:val="21"/>
          <w:szCs w:val="22"/>
          <w:lang w:val="zh-CN"/>
        </w:rPr>
      </w:sdtEndPr>
      <w:sdtContent>
        <w:p w14:paraId="269154E7">
          <w:pPr>
            <w:pStyle w:val="59"/>
            <w:jc w:val="center"/>
            <w:rPr>
              <w:rFonts w:hint="eastAsia" w:ascii="宋体" w:hAnsi="宋体" w:eastAsia="宋体"/>
              <w:b/>
              <w:bCs/>
              <w:color w:val="auto"/>
              <w:sz w:val="28"/>
              <w:szCs w:val="28"/>
            </w:rPr>
          </w:pPr>
          <w:r>
            <w:rPr>
              <w:rFonts w:ascii="宋体" w:hAnsi="宋体" w:eastAsia="宋体" w:cstheme="minorBidi"/>
              <w:b/>
              <w:bCs/>
              <w:color w:val="auto"/>
              <w:kern w:val="2"/>
              <w:sz w:val="28"/>
              <w:szCs w:val="28"/>
              <w:lang w:val="zh-CN"/>
            </w:rPr>
            <w:t>Contents</w:t>
          </w:r>
        </w:p>
        <w:p w14:paraId="3072E44E">
          <w:pPr>
            <w:pStyle w:val="16"/>
            <w:rPr>
              <w:rFonts w:hint="eastAsia" w:asciiTheme="minorHAnsi" w:hAnsiTheme="minorHAnsi" w:eastAsiaTheme="minorEastAsia"/>
              <w:sz w:val="22"/>
              <w:szCs w:val="24"/>
              <w14:ligatures w14:val="standardContextual"/>
            </w:rPr>
          </w:pPr>
          <w:r>
            <w:fldChar w:fldCharType="begin"/>
          </w:r>
          <w:r>
            <w:instrText xml:space="preserve"> TOC \o "1-3" \h \z \u </w:instrText>
          </w:r>
          <w:r>
            <w:fldChar w:fldCharType="separate"/>
          </w:r>
          <w:r>
            <w:fldChar w:fldCharType="begin"/>
          </w:r>
          <w:r>
            <w:instrText xml:space="preserve"> HYPERLINK \l "_Toc219878986" </w:instrText>
          </w:r>
          <w:r>
            <w:fldChar w:fldCharType="separate"/>
          </w:r>
          <w:r>
            <w:rPr>
              <w:rStyle w:val="25"/>
              <w:rFonts w:hint="eastAsia"/>
            </w:rPr>
            <w:t>1</w:t>
          </w:r>
          <w:r>
            <w:rPr>
              <w:rFonts w:hint="eastAsia" w:asciiTheme="minorHAnsi" w:hAnsiTheme="minorHAnsi" w:eastAsiaTheme="minorEastAsia"/>
              <w:sz w:val="22"/>
              <w:szCs w:val="24"/>
              <w14:ligatures w14:val="standardContextual"/>
            </w:rPr>
            <w:t xml:space="preserve">  </w:t>
          </w:r>
          <w:r>
            <w:rPr>
              <w:rStyle w:val="25"/>
            </w:rPr>
            <w:t>GeneralProvisions.</w:t>
          </w:r>
          <w:r>
            <w:rPr>
              <w:rFonts w:hint="eastAsia"/>
            </w:rPr>
            <w:tab/>
          </w:r>
          <w:r>
            <w:rPr>
              <w:rFonts w:hint="eastAsia"/>
            </w:rPr>
            <w:fldChar w:fldCharType="begin"/>
          </w:r>
          <w:r>
            <w:rPr>
              <w:rFonts w:hint="eastAsia"/>
            </w:rPr>
            <w:instrText xml:space="preserve"> </w:instrText>
          </w:r>
          <w:r>
            <w:instrText xml:space="preserve">PAGEREF _Toc219878986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42AD5BA1">
          <w:pPr>
            <w:pStyle w:val="16"/>
            <w:rPr>
              <w:rFonts w:hint="eastAsia" w:asciiTheme="minorHAnsi" w:hAnsiTheme="minorHAnsi" w:eastAsiaTheme="minorEastAsia"/>
              <w:sz w:val="22"/>
              <w:szCs w:val="24"/>
              <w14:ligatures w14:val="standardContextual"/>
            </w:rPr>
          </w:pPr>
          <w:r>
            <w:fldChar w:fldCharType="begin"/>
          </w:r>
          <w:r>
            <w:instrText xml:space="preserve"> HYPERLINK \l "_Toc219878987" </w:instrText>
          </w:r>
          <w:r>
            <w:fldChar w:fldCharType="separate"/>
          </w:r>
          <w:r>
            <w:rPr>
              <w:rStyle w:val="25"/>
              <w:rFonts w:hint="eastAsia"/>
            </w:rPr>
            <w:t xml:space="preserve">2  </w:t>
          </w:r>
          <w:r>
            <w:rPr>
              <w:rStyle w:val="25"/>
            </w:rPr>
            <w:t>Terms.</w:t>
          </w:r>
          <w:r>
            <w:rPr>
              <w:rFonts w:hint="eastAsia"/>
            </w:rPr>
            <w:tab/>
          </w:r>
          <w:r>
            <w:rPr>
              <w:rFonts w:hint="eastAsia"/>
            </w:rPr>
            <w:fldChar w:fldCharType="begin"/>
          </w:r>
          <w:r>
            <w:rPr>
              <w:rFonts w:hint="eastAsia"/>
            </w:rPr>
            <w:instrText xml:space="preserve"> </w:instrText>
          </w:r>
          <w:r>
            <w:instrText xml:space="preserve">PAGEREF _Toc219878987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0FA0FA6B">
          <w:pPr>
            <w:pStyle w:val="16"/>
            <w:rPr>
              <w:rFonts w:hint="eastAsia" w:asciiTheme="minorHAnsi" w:hAnsiTheme="minorHAnsi" w:eastAsiaTheme="minorEastAsia"/>
              <w:sz w:val="22"/>
              <w:szCs w:val="24"/>
              <w14:ligatures w14:val="standardContextual"/>
            </w:rPr>
          </w:pPr>
          <w:r>
            <w:fldChar w:fldCharType="begin"/>
          </w:r>
          <w:r>
            <w:instrText xml:space="preserve"> HYPERLINK \l "_Toc219878988" </w:instrText>
          </w:r>
          <w:r>
            <w:fldChar w:fldCharType="separate"/>
          </w:r>
          <w:r>
            <w:rPr>
              <w:rStyle w:val="25"/>
              <w:rFonts w:hint="eastAsia"/>
            </w:rPr>
            <w:t xml:space="preserve">3  </w:t>
          </w:r>
          <w:r>
            <w:rPr>
              <w:rStyle w:val="25"/>
            </w:rPr>
            <w:t>BasicRequirements</w:t>
          </w:r>
          <w:r>
            <w:rPr>
              <w:rFonts w:hint="eastAsia"/>
            </w:rPr>
            <w:tab/>
          </w:r>
          <w:r>
            <w:rPr>
              <w:rFonts w:hint="eastAsia"/>
            </w:rPr>
            <w:fldChar w:fldCharType="begin"/>
          </w:r>
          <w:r>
            <w:rPr>
              <w:rFonts w:hint="eastAsia"/>
            </w:rPr>
            <w:instrText xml:space="preserve"> </w:instrText>
          </w:r>
          <w:r>
            <w:instrText xml:space="preserve">PAGEREF _Toc219878988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2DB3A6ED">
          <w:pPr>
            <w:pStyle w:val="16"/>
            <w:rPr>
              <w:rFonts w:hint="eastAsia" w:asciiTheme="minorHAnsi" w:hAnsiTheme="minorHAnsi" w:eastAsiaTheme="minorEastAsia"/>
              <w:sz w:val="22"/>
              <w:szCs w:val="24"/>
              <w14:ligatures w14:val="standardContextual"/>
            </w:rPr>
          </w:pPr>
          <w:r>
            <w:fldChar w:fldCharType="begin"/>
          </w:r>
          <w:r>
            <w:instrText xml:space="preserve"> HYPERLINK \l "_Toc219878989" </w:instrText>
          </w:r>
          <w:r>
            <w:fldChar w:fldCharType="separate"/>
          </w:r>
          <w:r>
            <w:rPr>
              <w:rStyle w:val="25"/>
              <w:rFonts w:hint="eastAsia"/>
            </w:rPr>
            <w:t xml:space="preserve">4  </w:t>
          </w:r>
          <w:r>
            <w:rPr>
              <w:rStyle w:val="25"/>
            </w:rPr>
            <w:t>InformationCoding</w:t>
          </w:r>
          <w:r>
            <w:rPr>
              <w:rFonts w:hint="eastAsia"/>
            </w:rPr>
            <w:tab/>
          </w:r>
          <w:r>
            <w:rPr>
              <w:rFonts w:hint="eastAsia"/>
            </w:rPr>
            <w:fldChar w:fldCharType="begin"/>
          </w:r>
          <w:r>
            <w:rPr>
              <w:rFonts w:hint="eastAsia"/>
            </w:rPr>
            <w:instrText xml:space="preserve"> </w:instrText>
          </w:r>
          <w:r>
            <w:instrText xml:space="preserve">PAGEREF _Toc219878989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60179395">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"_Toc219878990" </w:instrText>
          </w:r>
          <w:r>
            <w:fldChar w:fldCharType="separate"/>
          </w:r>
          <w:r>
            <w:rPr>
              <w:rStyle w:val="25"/>
              <w:rFonts w:hint="eastAsia"/>
            </w:rPr>
            <w:t xml:space="preserve">4.1  </w:t>
          </w:r>
          <w:r>
            <w:rPr>
              <w:rStyle w:val="25"/>
            </w:rPr>
            <w:t>GeneralRequirements.</w:t>
          </w:r>
          <w:r>
            <w:rPr>
              <w:rFonts w:hint="eastAsia"/>
            </w:rPr>
            <w:tab/>
          </w:r>
          <w:r>
            <w:rPr>
              <w:rFonts w:hint="eastAsia"/>
            </w:rPr>
            <w:fldChar w:fldCharType="begin"/>
          </w:r>
          <w:r>
            <w:rPr>
              <w:rFonts w:hint="eastAsia"/>
            </w:rPr>
            <w:instrText xml:space="preserve"> </w:instrText>
          </w:r>
          <w:r>
            <w:instrText xml:space="preserve">PAGEREF _Toc219878990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0385B1E5">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"_Toc219878991" </w:instrText>
          </w:r>
          <w:r>
            <w:fldChar w:fldCharType="separate"/>
          </w:r>
          <w:r>
            <w:rPr>
              <w:rStyle w:val="25"/>
              <w:rFonts w:hint="eastAsia"/>
            </w:rPr>
            <w:t xml:space="preserve">4.2  </w:t>
          </w:r>
          <w:r>
            <w:rPr>
              <w:rStyle w:val="25"/>
            </w:rPr>
            <w:t>InformationCoding</w:t>
          </w:r>
          <w:r>
            <w:rPr>
              <w:rFonts w:hint="eastAsia"/>
            </w:rPr>
            <w:tab/>
          </w:r>
          <w:r>
            <w:rPr>
              <w:rFonts w:hint="eastAsia"/>
            </w:rPr>
            <w:fldChar w:fldCharType="begin"/>
          </w:r>
          <w:r>
            <w:rPr>
              <w:rFonts w:hint="eastAsia"/>
            </w:rPr>
            <w:instrText xml:space="preserve"> </w:instrText>
          </w:r>
          <w:r>
            <w:instrText xml:space="preserve">PAGEREF _Toc219878991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3B064DD9">
          <w:pPr>
            <w:pStyle w:val="16"/>
            <w:rPr>
              <w:rFonts w:hint="eastAsia" w:asciiTheme="minorHAnsi" w:hAnsiTheme="minorHAnsi" w:eastAsiaTheme="minorEastAsia"/>
              <w:sz w:val="22"/>
              <w:szCs w:val="24"/>
              <w14:ligatures w14:val="standardContextual"/>
            </w:rPr>
          </w:pPr>
          <w:r>
            <w:fldChar w:fldCharType="begin"/>
          </w:r>
          <w:r>
            <w:instrText xml:space="preserve"> HYPERLINK \l "_Toc219878992" </w:instrText>
          </w:r>
          <w:r>
            <w:fldChar w:fldCharType="separate"/>
          </w:r>
          <w:r>
            <w:rPr>
              <w:rStyle w:val="25"/>
              <w:rFonts w:hint="eastAsia"/>
            </w:rPr>
            <w:t xml:space="preserve">5  </w:t>
          </w:r>
          <w:r>
            <w:rPr>
              <w:rStyle w:val="25"/>
            </w:rPr>
            <w:t xml:space="preserve"> InformationManagement.</w:t>
          </w:r>
          <w:r>
            <w:rPr>
              <w:rFonts w:hint="eastAsia"/>
            </w:rPr>
            <w:tab/>
          </w:r>
          <w:r>
            <w:rPr>
              <w:rFonts w:hint="eastAsia"/>
            </w:rPr>
            <w:fldChar w:fldCharType="begin"/>
          </w:r>
          <w:r>
            <w:rPr>
              <w:rFonts w:hint="eastAsia"/>
            </w:rPr>
            <w:instrText xml:space="preserve"> </w:instrText>
          </w:r>
          <w:r>
            <w:instrText xml:space="preserve">PAGEREF _Toc219878992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7BE54563">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"_Toc219878993" </w:instrText>
          </w:r>
          <w:r>
            <w:fldChar w:fldCharType="separate"/>
          </w:r>
          <w:r>
            <w:rPr>
              <w:rStyle w:val="25"/>
              <w:rFonts w:hint="eastAsia"/>
            </w:rPr>
            <w:t xml:space="preserve">5.1  </w:t>
          </w:r>
          <w:r>
            <w:rPr>
              <w:rStyle w:val="25"/>
            </w:rPr>
            <w:t xml:space="preserve"> GeneralRequirements</w:t>
          </w:r>
          <w:r>
            <w:rPr>
              <w:rFonts w:hint="eastAsia"/>
            </w:rPr>
            <w:tab/>
          </w:r>
          <w:r>
            <w:rPr>
              <w:rFonts w:hint="eastAsia"/>
            </w:rPr>
            <w:fldChar w:fldCharType="begin"/>
          </w:r>
          <w:r>
            <w:rPr>
              <w:rFonts w:hint="eastAsia"/>
            </w:rPr>
            <w:instrText xml:space="preserve"> </w:instrText>
          </w:r>
          <w:r>
            <w:instrText xml:space="preserve">PAGEREF _Toc219878993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25A3D2B7">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"_Toc219878994" </w:instrText>
          </w:r>
          <w:r>
            <w:fldChar w:fldCharType="separate"/>
          </w:r>
          <w:r>
            <w:rPr>
              <w:rStyle w:val="25"/>
              <w:rFonts w:hint="eastAsia"/>
            </w:rPr>
            <w:t xml:space="preserve">5.2  </w:t>
          </w:r>
          <w:r>
            <w:rPr>
              <w:rStyle w:val="25"/>
            </w:rPr>
            <w:t xml:space="preserve"> DesignManagement</w:t>
          </w:r>
          <w:r>
            <w:rPr>
              <w:rFonts w:hint="eastAsia"/>
            </w:rPr>
            <w:tab/>
          </w:r>
          <w:r>
            <w:rPr>
              <w:rFonts w:hint="eastAsia"/>
            </w:rPr>
            <w:fldChar w:fldCharType="begin"/>
          </w:r>
          <w:r>
            <w:rPr>
              <w:rFonts w:hint="eastAsia"/>
            </w:rPr>
            <w:instrText xml:space="preserve"> </w:instrText>
          </w:r>
          <w:r>
            <w:instrText xml:space="preserve">PAGEREF _Toc219878994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18D771C0">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"_Toc219878995" </w:instrText>
          </w:r>
          <w:r>
            <w:fldChar w:fldCharType="separate"/>
          </w:r>
          <w:r>
            <w:rPr>
              <w:rStyle w:val="25"/>
              <w:rFonts w:hint="eastAsia"/>
            </w:rPr>
            <w:t xml:space="preserve">5.3  </w:t>
          </w:r>
          <w:r>
            <w:rPr>
              <w:rStyle w:val="25"/>
            </w:rPr>
            <w:t>ProductionManagement</w:t>
          </w:r>
          <w:r>
            <w:rPr>
              <w:rFonts w:hint="eastAsia"/>
            </w:rPr>
            <w:tab/>
          </w:r>
          <w:r>
            <w:rPr>
              <w:rFonts w:hint="eastAsia"/>
            </w:rPr>
            <w:fldChar w:fldCharType="begin"/>
          </w:r>
          <w:r>
            <w:rPr>
              <w:rFonts w:hint="eastAsia"/>
            </w:rPr>
            <w:instrText xml:space="preserve"> </w:instrText>
          </w:r>
          <w:r>
            <w:instrText xml:space="preserve">PAGEREF _Toc219878995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1C33A03A">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"_Toc219878996" </w:instrText>
          </w:r>
          <w:r>
            <w:fldChar w:fldCharType="separate"/>
          </w:r>
          <w:r>
            <w:rPr>
              <w:rStyle w:val="25"/>
              <w:rFonts w:hint="eastAsia"/>
            </w:rPr>
            <w:t xml:space="preserve">5.4  </w:t>
          </w:r>
          <w:r>
            <w:rPr>
              <w:rStyle w:val="25"/>
            </w:rPr>
            <w:t>On-siteInstallationManagement</w:t>
          </w:r>
          <w:r>
            <w:rPr>
              <w:rFonts w:hint="eastAsia"/>
            </w:rPr>
            <w:tab/>
          </w:r>
          <w:r>
            <w:rPr>
              <w:rFonts w:hint="eastAsia"/>
            </w:rPr>
            <w:fldChar w:fldCharType="begin"/>
          </w:r>
          <w:r>
            <w:rPr>
              <w:rFonts w:hint="eastAsia"/>
            </w:rPr>
            <w:instrText xml:space="preserve"> </w:instrText>
          </w:r>
          <w:r>
            <w:instrText xml:space="preserve">PAGEREF _Toc219878996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0396A3DF">
          <w:pPr>
            <w:pStyle w:val="16"/>
            <w:rPr>
              <w:rFonts w:hint="eastAsia" w:asciiTheme="minorHAnsi" w:hAnsiTheme="minorHAnsi" w:eastAsiaTheme="minorEastAsia"/>
              <w:sz w:val="22"/>
              <w:szCs w:val="24"/>
              <w14:ligatures w14:val="standardContextual"/>
            </w:rPr>
          </w:pPr>
          <w:r>
            <w:fldChar w:fldCharType="begin"/>
          </w:r>
          <w:r>
            <w:instrText xml:space="preserve"> HYPERLINK \l "_Toc219878997" </w:instrText>
          </w:r>
          <w:r>
            <w:fldChar w:fldCharType="separate"/>
          </w:r>
          <w:r>
            <w:rPr>
              <w:rStyle w:val="25"/>
              <w:rFonts w:hint="eastAsia"/>
            </w:rPr>
            <w:t xml:space="preserve">6  </w:t>
          </w:r>
          <w:r>
            <w:rPr>
              <w:rStyle w:val="25"/>
            </w:rPr>
            <w:t>InformationSystem</w:t>
          </w:r>
          <w:r>
            <w:rPr>
              <w:rStyle w:val="25"/>
              <w:rFonts w:hint="eastAsia"/>
            </w:rPr>
            <w:tab/>
          </w:r>
          <w:r>
            <w:rPr>
              <w:rStyle w:val="25"/>
              <w:rFonts w:hint="eastAsia"/>
            </w:rPr>
            <w:fldChar w:fldCharType="begin"/>
          </w:r>
          <w:r>
            <w:rPr>
              <w:rStyle w:val="25"/>
              <w:rFonts w:hint="eastAsia"/>
            </w:rPr>
            <w:instrText xml:space="preserve"> </w:instrText>
          </w:r>
          <w:r>
            <w:rPr>
              <w:rStyle w:val="25"/>
            </w:rPr>
            <w:instrText xml:space="preserve">PAGEREF _Toc219878997 \h</w:instrText>
          </w:r>
          <w:r>
            <w:rPr>
              <w:rStyle w:val="25"/>
              <w:rFonts w:hint="eastAsia"/>
            </w:rPr>
            <w:instrText xml:space="preserve"> </w:instrText>
          </w:r>
          <w:r>
            <w:rPr>
              <w:rStyle w:val="25"/>
              <w:rFonts w:hint="eastAsia"/>
            </w:rPr>
            <w:fldChar w:fldCharType="separate"/>
          </w:r>
          <w:r>
            <w:rPr>
              <w:rStyle w:val="25"/>
            </w:rPr>
            <w:t>9</w:t>
          </w:r>
          <w:r>
            <w:rPr>
              <w:rStyle w:val="25"/>
              <w:rFonts w:hint="eastAsia"/>
            </w:rPr>
            <w:fldChar w:fldCharType="end"/>
          </w:r>
          <w:r>
            <w:rPr>
              <w:rStyle w:val="25"/>
              <w:rFonts w:hint="eastAsia"/>
            </w:rPr>
            <w:fldChar w:fldCharType="end"/>
          </w:r>
        </w:p>
        <w:p w14:paraId="45194A79">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"_Toc219878998" </w:instrText>
          </w:r>
          <w:r>
            <w:fldChar w:fldCharType="separate"/>
          </w:r>
          <w:r>
            <w:rPr>
              <w:rStyle w:val="25"/>
              <w:rFonts w:hint="eastAsia"/>
            </w:rPr>
            <w:t xml:space="preserve">6.1  </w:t>
          </w:r>
          <w:r>
            <w:rPr>
              <w:rStyle w:val="25"/>
            </w:rPr>
            <w:t>GeneralRequirements</w:t>
          </w:r>
          <w:r>
            <w:rPr>
              <w:rStyle w:val="25"/>
              <w:rFonts w:hint="eastAsia"/>
            </w:rPr>
            <w:tab/>
          </w:r>
          <w:r>
            <w:rPr>
              <w:rStyle w:val="25"/>
              <w:rFonts w:hint="eastAsia"/>
            </w:rPr>
            <w:fldChar w:fldCharType="begin"/>
          </w:r>
          <w:r>
            <w:rPr>
              <w:rStyle w:val="25"/>
              <w:rFonts w:hint="eastAsia"/>
            </w:rPr>
            <w:instrText xml:space="preserve"> </w:instrText>
          </w:r>
          <w:r>
            <w:rPr>
              <w:rStyle w:val="25"/>
            </w:rPr>
            <w:instrText xml:space="preserve">PAGEREF _Toc219878998 \h</w:instrText>
          </w:r>
          <w:r>
            <w:rPr>
              <w:rStyle w:val="25"/>
              <w:rFonts w:hint="eastAsia"/>
            </w:rPr>
            <w:instrText xml:space="preserve"> </w:instrText>
          </w:r>
          <w:r>
            <w:rPr>
              <w:rStyle w:val="25"/>
              <w:rFonts w:hint="eastAsia"/>
            </w:rPr>
            <w:fldChar w:fldCharType="separate"/>
          </w:r>
          <w:r>
            <w:rPr>
              <w:rStyle w:val="25"/>
            </w:rPr>
            <w:t>9</w:t>
          </w:r>
          <w:r>
            <w:rPr>
              <w:rStyle w:val="25"/>
              <w:rFonts w:hint="eastAsia"/>
            </w:rPr>
            <w:fldChar w:fldCharType="end"/>
          </w:r>
          <w:r>
            <w:rPr>
              <w:rStyle w:val="25"/>
              <w:rFonts w:hint="eastAsia"/>
            </w:rPr>
            <w:fldChar w:fldCharType="end"/>
          </w:r>
        </w:p>
        <w:p w14:paraId="764AE117">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"_Toc219878999" </w:instrText>
          </w:r>
          <w:r>
            <w:fldChar w:fldCharType="separate"/>
          </w:r>
          <w:r>
            <w:rPr>
              <w:rStyle w:val="25"/>
              <w:rFonts w:hint="eastAsia"/>
            </w:rPr>
            <w:t xml:space="preserve">6.2  </w:t>
          </w:r>
          <w:r>
            <w:rPr>
              <w:rStyle w:val="25"/>
            </w:rPr>
            <w:t>InterfaceStandards</w:t>
          </w:r>
          <w:r>
            <w:rPr>
              <w:rStyle w:val="25"/>
              <w:rFonts w:hint="eastAsia"/>
            </w:rPr>
            <w:tab/>
          </w:r>
          <w:r>
            <w:rPr>
              <w:rStyle w:val="25"/>
              <w:rFonts w:hint="eastAsia"/>
            </w:rPr>
            <w:fldChar w:fldCharType="begin"/>
          </w:r>
          <w:r>
            <w:rPr>
              <w:rStyle w:val="25"/>
              <w:rFonts w:hint="eastAsia"/>
            </w:rPr>
            <w:instrText xml:space="preserve"> </w:instrText>
          </w:r>
          <w:r>
            <w:rPr>
              <w:rStyle w:val="25"/>
            </w:rPr>
            <w:instrText xml:space="preserve">PAGEREF _Toc219878999 \h</w:instrText>
          </w:r>
          <w:r>
            <w:rPr>
              <w:rStyle w:val="25"/>
              <w:rFonts w:hint="eastAsia"/>
            </w:rPr>
            <w:instrText xml:space="preserve"> </w:instrText>
          </w:r>
          <w:r>
            <w:rPr>
              <w:rStyle w:val="25"/>
              <w:rFonts w:hint="eastAsia"/>
            </w:rPr>
            <w:fldChar w:fldCharType="separate"/>
          </w:r>
          <w:r>
            <w:rPr>
              <w:rStyle w:val="25"/>
            </w:rPr>
            <w:t>9</w:t>
          </w:r>
          <w:r>
            <w:rPr>
              <w:rStyle w:val="25"/>
              <w:rFonts w:hint="eastAsia"/>
            </w:rPr>
            <w:fldChar w:fldCharType="end"/>
          </w:r>
          <w:r>
            <w:rPr>
              <w:rStyle w:val="25"/>
              <w:rFonts w:hint="eastAsia"/>
            </w:rPr>
            <w:fldChar w:fldCharType="end"/>
          </w:r>
        </w:p>
        <w:p w14:paraId="31AA2718">
          <w:pPr>
            <w:pStyle w:val="18"/>
            <w:ind w:firstLine="420" w:firstLineChars="200"/>
            <w:rPr>
              <w:rFonts w:hint="eastAsia" w:asciiTheme="minorHAnsi" w:hAnsiTheme="minorHAnsi" w:eastAsiaTheme="minorEastAsia"/>
              <w:sz w:val="22"/>
              <w:szCs w:val="24"/>
              <w14:ligatures w14:val="standardContextual"/>
            </w:rPr>
          </w:pPr>
          <w:r>
            <w:fldChar w:fldCharType="begin"/>
          </w:r>
          <w:r>
            <w:instrText xml:space="preserve"> HYPERLINK \l "_Toc219879000" </w:instrText>
          </w:r>
          <w:r>
            <w:fldChar w:fldCharType="separate"/>
          </w:r>
          <w:r>
            <w:rPr>
              <w:rStyle w:val="25"/>
              <w:rFonts w:hint="eastAsia"/>
            </w:rPr>
            <w:t>6.</w:t>
          </w:r>
          <w:r>
            <w:rPr>
              <w:rStyle w:val="25"/>
              <w:rFonts w:hint="eastAsia"/>
              <w:lang w:val="en-US" w:eastAsia="zh-CN"/>
            </w:rPr>
            <w:t>3</w:t>
          </w:r>
          <w:r>
            <w:rPr>
              <w:rStyle w:val="25"/>
              <w:rFonts w:hint="eastAsia"/>
            </w:rPr>
            <w:t xml:space="preserve">  </w:t>
          </w:r>
          <w:r>
            <w:rPr>
              <w:rStyle w:val="25"/>
            </w:rPr>
            <w:t>InformationSecurity</w:t>
          </w:r>
          <w:r>
            <w:rPr>
              <w:rStyle w:val="25"/>
              <w:rFonts w:hint="eastAsia"/>
            </w:rPr>
            <w:tab/>
          </w:r>
          <w:r>
            <w:rPr>
              <w:rStyle w:val="25"/>
              <w:rFonts w:hint="eastAsia"/>
            </w:rPr>
            <w:fldChar w:fldCharType="begin"/>
          </w:r>
          <w:r>
            <w:rPr>
              <w:rStyle w:val="25"/>
              <w:rFonts w:hint="eastAsia"/>
            </w:rPr>
            <w:instrText xml:space="preserve"> </w:instrText>
          </w:r>
          <w:r>
            <w:rPr>
              <w:rStyle w:val="25"/>
            </w:rPr>
            <w:instrText xml:space="preserve">PAGEREF _Toc219879000 \h</w:instrText>
          </w:r>
          <w:r>
            <w:rPr>
              <w:rStyle w:val="25"/>
              <w:rFonts w:hint="eastAsia"/>
            </w:rPr>
            <w:instrText xml:space="preserve"> </w:instrText>
          </w:r>
          <w:r>
            <w:rPr>
              <w:rStyle w:val="25"/>
              <w:rFonts w:hint="eastAsia"/>
            </w:rPr>
            <w:fldChar w:fldCharType="separate"/>
          </w:r>
          <w:r>
            <w:rPr>
              <w:rStyle w:val="25"/>
            </w:rPr>
            <w:t>9</w:t>
          </w:r>
          <w:r>
            <w:rPr>
              <w:rStyle w:val="25"/>
              <w:rFonts w:hint="eastAsia"/>
            </w:rPr>
            <w:fldChar w:fldCharType="end"/>
          </w:r>
          <w:r>
            <w:rPr>
              <w:rStyle w:val="25"/>
              <w:rFonts w:hint="eastAsia"/>
            </w:rPr>
            <w:fldChar w:fldCharType="end"/>
          </w:r>
        </w:p>
        <w:p w14:paraId="67AA8162">
          <w:pPr>
            <w:pStyle w:val="16"/>
            <w:rPr>
              <w:rFonts w:hint="eastAsia" w:asciiTheme="minorHAnsi" w:hAnsiTheme="minorHAnsi" w:eastAsiaTheme="minorEastAsia"/>
              <w:sz w:val="22"/>
              <w:szCs w:val="24"/>
              <w14:ligatures w14:val="standardContextual"/>
            </w:rPr>
          </w:pPr>
          <w:r>
            <w:fldChar w:fldCharType="begin"/>
          </w:r>
          <w:r>
            <w:instrText xml:space="preserve"> HYPERLINK \l "_Toc219879001" </w:instrText>
          </w:r>
          <w:r>
            <w:fldChar w:fldCharType="separate"/>
          </w:r>
          <w:r>
            <w:rPr>
              <w:rStyle w:val="25"/>
            </w:rPr>
            <w:t>Appendix</w:t>
          </w:r>
          <w:r>
            <w:rPr>
              <w:rStyle w:val="25"/>
              <w:rFonts w:hint="eastAsia"/>
            </w:rPr>
            <w:t xml:space="preserve"> </w:t>
          </w:r>
          <w:r>
            <w:rPr>
              <w:rStyle w:val="25"/>
            </w:rPr>
            <w:t>A:ImplantationLocationofRFIDChips</w:t>
          </w:r>
          <w:r>
            <w:rPr>
              <w:rStyle w:val="25"/>
              <w:rFonts w:hint="eastAsia"/>
            </w:rPr>
            <w:tab/>
          </w:r>
          <w:r>
            <w:rPr>
              <w:rStyle w:val="25"/>
              <w:rFonts w:hint="eastAsia"/>
            </w:rPr>
            <w:fldChar w:fldCharType="begin"/>
          </w:r>
          <w:r>
            <w:rPr>
              <w:rStyle w:val="25"/>
              <w:rFonts w:hint="eastAsia"/>
            </w:rPr>
            <w:instrText xml:space="preserve"> </w:instrText>
          </w:r>
          <w:r>
            <w:rPr>
              <w:rStyle w:val="25"/>
            </w:rPr>
            <w:instrText xml:space="preserve">PAGEREF _Toc219879001 \h</w:instrText>
          </w:r>
          <w:r>
            <w:rPr>
              <w:rStyle w:val="25"/>
              <w:rFonts w:hint="eastAsia"/>
            </w:rPr>
            <w:instrText xml:space="preserve"> </w:instrText>
          </w:r>
          <w:r>
            <w:rPr>
              <w:rStyle w:val="25"/>
              <w:rFonts w:hint="eastAsia"/>
            </w:rPr>
            <w:fldChar w:fldCharType="separate"/>
          </w:r>
          <w:r>
            <w:rPr>
              <w:rStyle w:val="25"/>
            </w:rPr>
            <w:t>11</w:t>
          </w:r>
          <w:r>
            <w:rPr>
              <w:rStyle w:val="25"/>
              <w:rFonts w:hint="eastAsia"/>
            </w:rPr>
            <w:fldChar w:fldCharType="end"/>
          </w:r>
          <w:r>
            <w:rPr>
              <w:rStyle w:val="25"/>
              <w:rFonts w:hint="eastAsia"/>
            </w:rPr>
            <w:fldChar w:fldCharType="end"/>
          </w:r>
        </w:p>
        <w:p w14:paraId="13327940">
          <w:pPr>
            <w:pStyle w:val="16"/>
            <w:rPr>
              <w:rFonts w:hint="eastAsia" w:asciiTheme="minorHAnsi" w:hAnsiTheme="minorHAnsi" w:eastAsiaTheme="minorEastAsia"/>
              <w:sz w:val="22"/>
              <w:szCs w:val="24"/>
              <w14:ligatures w14:val="standardContextual"/>
            </w:rPr>
          </w:pPr>
          <w:r>
            <w:fldChar w:fldCharType="begin"/>
          </w:r>
          <w:r>
            <w:instrText xml:space="preserve"> HYPERLINK \l "_Toc219879002" </w:instrText>
          </w:r>
          <w:r>
            <w:fldChar w:fldCharType="separate"/>
          </w:r>
          <w:r>
            <w:rPr>
              <w:rStyle w:val="25"/>
            </w:rPr>
            <w:t>Appendix</w:t>
          </w:r>
          <w:r>
            <w:rPr>
              <w:rStyle w:val="25"/>
              <w:rFonts w:hint="eastAsia"/>
            </w:rPr>
            <w:t xml:space="preserve"> </w:t>
          </w:r>
          <w:r>
            <w:rPr>
              <w:rStyle w:val="25"/>
            </w:rPr>
            <w:t>B</w:t>
          </w:r>
          <w:r>
            <w:rPr>
              <w:rStyle w:val="25"/>
              <w:rFonts w:hint="eastAsia"/>
            </w:rPr>
            <w:t>:</w:t>
          </w:r>
          <w:r>
            <w:rPr>
              <w:rStyle w:val="25"/>
            </w:rPr>
            <w:t>ComponentTypeCodes</w:t>
          </w:r>
          <w:r>
            <w:rPr>
              <w:rStyle w:val="25"/>
              <w:rFonts w:hint="eastAsia"/>
            </w:rPr>
            <w:tab/>
          </w:r>
          <w:r>
            <w:rPr>
              <w:rStyle w:val="25"/>
              <w:rFonts w:hint="eastAsia"/>
            </w:rPr>
            <w:fldChar w:fldCharType="begin"/>
          </w:r>
          <w:r>
            <w:rPr>
              <w:rStyle w:val="25"/>
              <w:rFonts w:hint="eastAsia"/>
            </w:rPr>
            <w:instrText xml:space="preserve"> </w:instrText>
          </w:r>
          <w:r>
            <w:rPr>
              <w:rStyle w:val="25"/>
            </w:rPr>
            <w:instrText xml:space="preserve">PAGEREF _Toc219879002 \h</w:instrText>
          </w:r>
          <w:r>
            <w:rPr>
              <w:rStyle w:val="25"/>
              <w:rFonts w:hint="eastAsia"/>
            </w:rPr>
            <w:instrText xml:space="preserve"> </w:instrText>
          </w:r>
          <w:r>
            <w:rPr>
              <w:rStyle w:val="25"/>
              <w:rFonts w:hint="eastAsia"/>
            </w:rPr>
            <w:fldChar w:fldCharType="separate"/>
          </w:r>
          <w:r>
            <w:rPr>
              <w:rStyle w:val="25"/>
            </w:rPr>
            <w:t>14</w:t>
          </w:r>
          <w:r>
            <w:rPr>
              <w:rStyle w:val="25"/>
              <w:rFonts w:hint="eastAsia"/>
            </w:rPr>
            <w:fldChar w:fldCharType="end"/>
          </w:r>
          <w:r>
            <w:rPr>
              <w:rStyle w:val="25"/>
              <w:rFonts w:hint="eastAsia"/>
            </w:rPr>
            <w:fldChar w:fldCharType="end"/>
          </w:r>
        </w:p>
        <w:p w14:paraId="12624E44">
          <w:pPr>
            <w:pStyle w:val="16"/>
            <w:rPr>
              <w:rFonts w:hint="eastAsia" w:asciiTheme="minorHAnsi" w:hAnsiTheme="minorHAnsi" w:eastAsiaTheme="minorEastAsia"/>
              <w:sz w:val="22"/>
              <w:szCs w:val="24"/>
              <w14:ligatures w14:val="standardContextual"/>
            </w:rPr>
          </w:pPr>
          <w:r>
            <w:fldChar w:fldCharType="begin"/>
          </w:r>
          <w:r>
            <w:instrText xml:space="preserve"> HYPERLINK \l "_Toc219879003" </w:instrText>
          </w:r>
          <w:r>
            <w:fldChar w:fldCharType="separate"/>
          </w:r>
          <w:r>
            <w:rPr>
              <w:rStyle w:val="25"/>
            </w:rPr>
            <w:t>Explanation</w:t>
          </w:r>
          <w:r>
            <w:rPr>
              <w:rStyle w:val="25"/>
              <w:rFonts w:hint="eastAsia"/>
            </w:rPr>
            <w:t xml:space="preserve"> </w:t>
          </w:r>
          <w:r>
            <w:rPr>
              <w:rStyle w:val="25"/>
            </w:rPr>
            <w:t>of</w:t>
          </w:r>
          <w:r>
            <w:rPr>
              <w:rStyle w:val="25"/>
              <w:rFonts w:hint="eastAsia"/>
            </w:rPr>
            <w:t xml:space="preserve"> </w:t>
          </w:r>
          <w:r>
            <w:rPr>
              <w:rStyle w:val="25"/>
            </w:rPr>
            <w:t>Terms</w:t>
          </w:r>
          <w:r>
            <w:rPr>
              <w:rStyle w:val="25"/>
              <w:rFonts w:hint="eastAsia"/>
            </w:rPr>
            <w:t xml:space="preserve"> </w:t>
          </w:r>
          <w:r>
            <w:rPr>
              <w:rStyle w:val="25"/>
            </w:rPr>
            <w:t>Used</w:t>
          </w:r>
          <w:r>
            <w:rPr>
              <w:rStyle w:val="25"/>
              <w:rFonts w:hint="eastAsia"/>
            </w:rPr>
            <w:t xml:space="preserve"> </w:t>
          </w:r>
          <w:r>
            <w:rPr>
              <w:rStyle w:val="25"/>
            </w:rPr>
            <w:t>in</w:t>
          </w:r>
          <w:r>
            <w:rPr>
              <w:rStyle w:val="25"/>
              <w:rFonts w:hint="eastAsia"/>
            </w:rPr>
            <w:t xml:space="preserve"> </w:t>
          </w:r>
          <w:r>
            <w:rPr>
              <w:rStyle w:val="25"/>
            </w:rPr>
            <w:t>This</w:t>
          </w:r>
          <w:r>
            <w:rPr>
              <w:rStyle w:val="25"/>
              <w:rFonts w:hint="eastAsia"/>
            </w:rPr>
            <w:t xml:space="preserve"> </w:t>
          </w:r>
          <w:r>
            <w:rPr>
              <w:rStyle w:val="25"/>
            </w:rPr>
            <w:t>Standard.</w:t>
          </w:r>
          <w:r>
            <w:rPr>
              <w:rStyle w:val="25"/>
              <w:rFonts w:hint="eastAsia"/>
            </w:rPr>
            <w:tab/>
          </w:r>
          <w:r>
            <w:rPr>
              <w:rStyle w:val="25"/>
              <w:rFonts w:hint="eastAsia"/>
            </w:rPr>
            <w:fldChar w:fldCharType="begin"/>
          </w:r>
          <w:r>
            <w:rPr>
              <w:rStyle w:val="25"/>
              <w:rFonts w:hint="eastAsia"/>
            </w:rPr>
            <w:instrText xml:space="preserve"> </w:instrText>
          </w:r>
          <w:r>
            <w:rPr>
              <w:rStyle w:val="25"/>
            </w:rPr>
            <w:instrText xml:space="preserve">PAGEREF _Toc219879003 \h</w:instrText>
          </w:r>
          <w:r>
            <w:rPr>
              <w:rStyle w:val="25"/>
              <w:rFonts w:hint="eastAsia"/>
            </w:rPr>
            <w:instrText xml:space="preserve"> </w:instrText>
          </w:r>
          <w:r>
            <w:rPr>
              <w:rStyle w:val="25"/>
              <w:rFonts w:hint="eastAsia"/>
            </w:rPr>
            <w:fldChar w:fldCharType="separate"/>
          </w:r>
          <w:r>
            <w:rPr>
              <w:rStyle w:val="25"/>
            </w:rPr>
            <w:t>15</w:t>
          </w:r>
          <w:r>
            <w:rPr>
              <w:rStyle w:val="25"/>
              <w:rFonts w:hint="eastAsia"/>
            </w:rPr>
            <w:fldChar w:fldCharType="end"/>
          </w:r>
          <w:r>
            <w:rPr>
              <w:rStyle w:val="25"/>
              <w:rFonts w:hint="eastAsia"/>
            </w:rPr>
            <w:fldChar w:fldCharType="end"/>
          </w:r>
        </w:p>
        <w:p w14:paraId="60613B27">
          <w:pPr>
            <w:pStyle w:val="16"/>
            <w:rPr>
              <w:rFonts w:hint="eastAsia" w:asciiTheme="minorHAnsi" w:hAnsiTheme="minorHAnsi" w:eastAsiaTheme="minorEastAsia"/>
              <w:sz w:val="22"/>
              <w:szCs w:val="24"/>
              <w14:ligatures w14:val="standardContextual"/>
            </w:rPr>
          </w:pPr>
          <w:r>
            <w:fldChar w:fldCharType="begin"/>
          </w:r>
          <w:r>
            <w:instrText xml:space="preserve"> HYPERLINK \l "_Toc219879004" </w:instrText>
          </w:r>
          <w:r>
            <w:fldChar w:fldCharType="separate"/>
          </w:r>
          <w:r>
            <w:rPr>
              <w:rStyle w:val="25"/>
            </w:rPr>
            <w:t>Reference</w:t>
          </w:r>
          <w:r>
            <w:rPr>
              <w:rStyle w:val="25"/>
              <w:rFonts w:hint="eastAsia"/>
            </w:rPr>
            <w:t xml:space="preserve"> </w:t>
          </w:r>
          <w:r>
            <w:rPr>
              <w:rStyle w:val="25"/>
            </w:rPr>
            <w:t>List</w:t>
          </w:r>
          <w:r>
            <w:rPr>
              <w:rStyle w:val="25"/>
              <w:rFonts w:hint="eastAsia"/>
            </w:rPr>
            <w:t xml:space="preserve"> </w:t>
          </w:r>
          <w:r>
            <w:rPr>
              <w:rStyle w:val="25"/>
            </w:rPr>
            <w:t>of</w:t>
          </w:r>
          <w:r>
            <w:rPr>
              <w:rStyle w:val="25"/>
              <w:rFonts w:hint="eastAsia"/>
            </w:rPr>
            <w:t xml:space="preserve"> </w:t>
          </w:r>
          <w:r>
            <w:rPr>
              <w:rStyle w:val="25"/>
            </w:rPr>
            <w:t>Standards</w:t>
          </w:r>
          <w:r>
            <w:rPr>
              <w:rStyle w:val="25"/>
              <w:rFonts w:hint="eastAsia"/>
            </w:rPr>
            <w:tab/>
          </w:r>
          <w:r>
            <w:rPr>
              <w:rStyle w:val="25"/>
              <w:rFonts w:hint="eastAsia"/>
            </w:rPr>
            <w:fldChar w:fldCharType="begin"/>
          </w:r>
          <w:r>
            <w:rPr>
              <w:rStyle w:val="25"/>
              <w:rFonts w:hint="eastAsia"/>
            </w:rPr>
            <w:instrText xml:space="preserve"> </w:instrText>
          </w:r>
          <w:r>
            <w:rPr>
              <w:rStyle w:val="25"/>
            </w:rPr>
            <w:instrText xml:space="preserve">PAGEREF _Toc219879004 \h</w:instrText>
          </w:r>
          <w:r>
            <w:rPr>
              <w:rStyle w:val="25"/>
              <w:rFonts w:hint="eastAsia"/>
            </w:rPr>
            <w:instrText xml:space="preserve"> </w:instrText>
          </w:r>
          <w:r>
            <w:rPr>
              <w:rStyle w:val="25"/>
              <w:rFonts w:hint="eastAsia"/>
            </w:rPr>
            <w:fldChar w:fldCharType="separate"/>
          </w:r>
          <w:r>
            <w:rPr>
              <w:rStyle w:val="25"/>
            </w:rPr>
            <w:t>16</w:t>
          </w:r>
          <w:r>
            <w:rPr>
              <w:rStyle w:val="25"/>
              <w:rFonts w:hint="eastAsia"/>
            </w:rPr>
            <w:fldChar w:fldCharType="end"/>
          </w:r>
          <w:r>
            <w:rPr>
              <w:rStyle w:val="25"/>
              <w:rFonts w:hint="eastAsia"/>
            </w:rPr>
            <w:fldChar w:fldCharType="end"/>
          </w:r>
        </w:p>
        <w:p w14:paraId="0D2726B4">
          <w:pPr>
            <w:rPr>
              <w:rFonts w:hint="eastAsia"/>
              <w:b/>
              <w:bCs/>
              <w:lang w:val="zh-CN"/>
            </w:rPr>
          </w:pPr>
          <w:r>
            <w:rPr>
              <w:b/>
              <w:bCs/>
              <w:lang w:val="zh-CN"/>
            </w:rPr>
            <w:fldChar w:fldCharType="end"/>
          </w:r>
        </w:p>
      </w:sdtContent>
    </w:sdt>
    <w:p w14:paraId="5795161E"/>
    <w:p w14:paraId="0D7E5458">
      <w:pPr>
        <w:pStyle w:val="47"/>
      </w:pPr>
    </w:p>
    <w:p w14:paraId="42766678">
      <w:pPr>
        <w:pStyle w:val="47"/>
      </w:pPr>
    </w:p>
    <w:p w14:paraId="5345F3C4">
      <w:pPr>
        <w:pStyle w:val="47"/>
        <w:sectPr>
          <w:pgSz w:w="11906" w:h="16838"/>
          <w:pgMar w:top="1440" w:right="1800" w:bottom="1440" w:left="1800" w:header="851" w:footer="992" w:gutter="0"/>
          <w:cols w:space="425" w:num="1"/>
          <w:docGrid w:type="lines" w:linePitch="312" w:charSpace="0"/>
        </w:sectPr>
      </w:pPr>
    </w:p>
    <w:p w14:paraId="3DA58ECE">
      <w:pPr>
        <w:pStyle w:val="2"/>
      </w:pPr>
      <w:bookmarkStart w:id="1" w:name="_Toc219878986"/>
      <w:bookmarkStart w:id="2" w:name="_Toc221108967"/>
      <w:r>
        <w:rPr>
          <w:rFonts w:hint="eastAsia"/>
        </w:rPr>
        <w:t>1  总则</w:t>
      </w:r>
      <w:bookmarkEnd w:id="1"/>
      <w:bookmarkEnd w:id="2"/>
    </w:p>
    <w:p w14:paraId="13643E32"/>
    <w:p w14:paraId="07B2B0FA">
      <w:r>
        <w:rPr>
          <w:rFonts w:hint="eastAsia"/>
          <w:b/>
          <w:bCs/>
        </w:rPr>
        <w:t>1.0.1</w:t>
      </w:r>
      <w:r>
        <w:rPr>
          <w:rFonts w:hint="eastAsia"/>
        </w:rPr>
        <w:t xml:space="preserve">  为规范装配式建筑预制构件生产和安装过程中的信息化管理，提升装配式建筑信息化管理水平，制定本标准。</w:t>
      </w:r>
    </w:p>
    <w:p w14:paraId="6D3C0BC2">
      <w:r>
        <w:rPr>
          <w:b/>
          <w:i/>
          <w:color w:val="000000"/>
          <w:u w:val="single"/>
        </w:rPr>
        <w:t>条文说明：</w:t>
      </w:r>
      <w:r>
        <w:rPr>
          <w:rFonts w:hint="eastAsia"/>
          <w:i/>
          <w:color w:val="000000"/>
          <w:u w:val="single"/>
        </w:rPr>
        <w:t>通过本标准的制定，规范装配式建筑预制构件生产和安装工程中的信息化管理，使构件生产和安装环节出于可控和可追溯状态。</w:t>
      </w:r>
    </w:p>
    <w:p w14:paraId="339C005F">
      <w:r>
        <w:rPr>
          <w:rFonts w:hint="eastAsia"/>
          <w:b/>
          <w:bCs/>
        </w:rPr>
        <w:t xml:space="preserve">1.0.2  </w:t>
      </w:r>
      <w:r>
        <w:rPr>
          <w:rFonts w:hint="eastAsia"/>
        </w:rPr>
        <w:t>本标准适用于重庆市装配式建筑预制混凝土构件和钢结构构件信息编码，构件生产和安装的信息化管理及信息系统建设。</w:t>
      </w:r>
    </w:p>
    <w:p w14:paraId="02C70FC3">
      <w:r>
        <w:rPr>
          <w:rFonts w:hint="eastAsia"/>
          <w:b/>
          <w:bCs/>
        </w:rPr>
        <w:t xml:space="preserve">1.0.3  </w:t>
      </w:r>
      <w:r>
        <w:rPr>
          <w:rFonts w:hint="eastAsia"/>
        </w:rPr>
        <w:t>装配式建筑预制构件的信息化管理及信息系统建设除应符合本标准外，尚应符合国家、行业现行有关标准的规定。</w:t>
      </w:r>
    </w:p>
    <w:p w14:paraId="29B457C0">
      <w:r>
        <w:rPr>
          <w:rFonts w:hint="eastAsia"/>
        </w:rPr>
        <w:br w:type="page"/>
      </w:r>
    </w:p>
    <w:p w14:paraId="6F798084">
      <w:pPr>
        <w:pStyle w:val="2"/>
      </w:pPr>
      <w:bookmarkStart w:id="3" w:name="_Toc221108968"/>
      <w:bookmarkStart w:id="4" w:name="_Toc219878987"/>
      <w:r>
        <w:rPr>
          <w:rFonts w:hint="eastAsia"/>
        </w:rPr>
        <w:t>2  术语</w:t>
      </w:r>
      <w:bookmarkEnd w:id="3"/>
      <w:bookmarkEnd w:id="4"/>
    </w:p>
    <w:p w14:paraId="23443400">
      <w:r>
        <w:rPr>
          <w:rFonts w:hint="eastAsia"/>
          <w:b/>
          <w:bCs/>
        </w:rPr>
        <w:t xml:space="preserve">2.0.1  </w:t>
      </w:r>
      <w:r>
        <w:rPr>
          <w:rFonts w:hint="eastAsia"/>
        </w:rPr>
        <w:t>装配式建筑 assembled building</w:t>
      </w:r>
    </w:p>
    <w:p w14:paraId="0A8BBB25">
      <w:pPr>
        <w:ind w:firstLine="420" w:firstLineChars="200"/>
      </w:pPr>
      <w:r>
        <w:rPr>
          <w:rFonts w:hint="eastAsia"/>
        </w:rPr>
        <w:t>结构系统、外围护系统、设备与管线系统、内装系统的主要部分采用预制部品部件集成的建筑。</w:t>
      </w:r>
    </w:p>
    <w:p w14:paraId="2D97376F">
      <w:r>
        <w:rPr>
          <w:rFonts w:hint="eastAsia"/>
          <w:b/>
          <w:bCs/>
        </w:rPr>
        <w:t>2.0.2</w:t>
      </w:r>
      <w:r>
        <w:rPr>
          <w:rFonts w:hint="eastAsia"/>
        </w:rPr>
        <w:t xml:space="preserve">  装配式建筑预制构件 </w:t>
      </w:r>
      <w:r>
        <w:t>Prefabricated components for prefabricated buildings</w:t>
      </w:r>
    </w:p>
    <w:p w14:paraId="1D36719F">
      <w:pPr>
        <w:ind w:firstLine="420" w:firstLineChars="200"/>
      </w:pPr>
      <w:r>
        <w:rPr>
          <w:rFonts w:hint="eastAsia"/>
        </w:rPr>
        <w:t>在工厂或现场预制的构件，包括预制混凝土构件和钢构件。</w:t>
      </w:r>
    </w:p>
    <w:p w14:paraId="4CB1A180">
      <w:r>
        <w:rPr>
          <w:rFonts w:hint="eastAsia"/>
          <w:b/>
          <w:bCs/>
        </w:rPr>
        <w:t xml:space="preserve">2.0.3  </w:t>
      </w:r>
      <w:r>
        <w:rPr>
          <w:rFonts w:hint="eastAsia"/>
        </w:rPr>
        <w:t>建筑信息模型building information modeling，building information model（BIM）</w:t>
      </w:r>
    </w:p>
    <w:p w14:paraId="558D82F1">
      <w:pPr>
        <w:ind w:firstLine="420" w:firstLineChars="200"/>
      </w:pPr>
      <w:r>
        <w:rPr>
          <w:rFonts w:hint="eastAsia"/>
        </w:rPr>
        <w:t>在建设工程及设施全生命期内，对其物理和功能特性进行数字化表达，并依此设计、施工、运营的过程和结果的总称，简称模型。</w:t>
      </w:r>
    </w:p>
    <w:p w14:paraId="30E5306B">
      <w:r>
        <w:rPr>
          <w:rFonts w:hint="eastAsia"/>
          <w:b/>
          <w:bCs/>
        </w:rPr>
        <w:t>2.0.4</w:t>
      </w:r>
      <w:r>
        <w:rPr>
          <w:rFonts w:hint="eastAsia"/>
        </w:rPr>
        <w:t xml:space="preserve">  信息编码 information coding</w:t>
      </w:r>
    </w:p>
    <w:p w14:paraId="637F3CAE">
      <w:pPr>
        <w:ind w:firstLine="420" w:firstLineChars="200"/>
      </w:pPr>
      <w:r>
        <w:rPr>
          <w:rFonts w:hint="eastAsia"/>
        </w:rPr>
        <w:t>信息编码是将事物或概念（编码对象）赋予具有一定规律、易于计算机和人识别处理的符号，形成代码元素集合。代码元素集合中的代码元素就是赋予编码对象的符号，即编码对象的代码值。</w:t>
      </w:r>
    </w:p>
    <w:p w14:paraId="2347C7D0">
      <w:r>
        <w:rPr>
          <w:rFonts w:hint="eastAsia"/>
          <w:b/>
          <w:bCs/>
        </w:rPr>
        <w:t>2.0.5</w:t>
      </w:r>
      <w:r>
        <w:rPr>
          <w:rFonts w:hint="eastAsia"/>
        </w:rPr>
        <w:t xml:space="preserve">  识别码 identification code</w:t>
      </w:r>
    </w:p>
    <w:p w14:paraId="13C93FEC">
      <w:pPr>
        <w:pStyle w:val="52"/>
        <w:ind w:firstLine="420"/>
      </w:pPr>
      <w:r>
        <w:rPr>
          <w:rFonts w:hint="eastAsia"/>
        </w:rPr>
        <w:t>装配式建筑构件编码中用于区分施工图中同一轴线范围内构件的代码。</w:t>
      </w:r>
    </w:p>
    <w:p w14:paraId="2AA5ED8B">
      <w:r>
        <w:rPr>
          <w:rFonts w:hint="eastAsia"/>
          <w:b/>
          <w:bCs/>
        </w:rPr>
        <w:t>2.0.6</w:t>
      </w:r>
      <w:r>
        <w:rPr>
          <w:rFonts w:hint="eastAsia"/>
        </w:rPr>
        <w:t xml:space="preserve">  物料清单 bill of material（BOM）</w:t>
      </w:r>
    </w:p>
    <w:p w14:paraId="3A96B8CD">
      <w:pPr>
        <w:pStyle w:val="52"/>
        <w:ind w:firstLine="420"/>
      </w:pPr>
      <w:r>
        <w:rPr>
          <w:rFonts w:hint="eastAsia"/>
        </w:rPr>
        <w:t>计算机管理描述产品构成的物料明细表，包括制造一个产品所需的各种物料种类规格及其数量和它们相互之间的组成关系。</w:t>
      </w:r>
    </w:p>
    <w:p w14:paraId="433C5901">
      <w:r>
        <w:rPr>
          <w:rFonts w:hint="eastAsia"/>
          <w:b/>
          <w:bCs/>
        </w:rPr>
        <w:t>2.0.7</w:t>
      </w:r>
      <w:r>
        <w:rPr>
          <w:rFonts w:hint="eastAsia"/>
        </w:rPr>
        <w:t xml:space="preserve">  二维码技术 </w:t>
      </w:r>
      <w:r>
        <w:t>2-dimensional</w:t>
      </w:r>
      <w:r>
        <w:rPr>
          <w:rFonts w:hint="eastAsia"/>
        </w:rPr>
        <w:t xml:space="preserve"> </w:t>
      </w:r>
      <w:r>
        <w:t>bar</w:t>
      </w:r>
      <w:r>
        <w:rPr>
          <w:rFonts w:hint="eastAsia"/>
        </w:rPr>
        <w:t xml:space="preserve"> </w:t>
      </w:r>
      <w:r>
        <w:t>code</w:t>
      </w:r>
    </w:p>
    <w:p w14:paraId="7D2F4E9B">
      <w:pPr>
        <w:ind w:firstLine="420" w:firstLineChars="200"/>
      </w:pPr>
      <w:r>
        <w:rPr>
          <w:rFonts w:hint="eastAsia"/>
        </w:rPr>
        <w:t>一种具有可读性的条码技术，使用黑白矩形图案表示二进制数据，被设备扫描后可获取其中所包含的信息。</w:t>
      </w:r>
    </w:p>
    <w:p w14:paraId="1AE788F2">
      <w:r>
        <w:rPr>
          <w:rFonts w:hint="eastAsia"/>
          <w:b/>
          <w:bCs/>
        </w:rPr>
        <w:t>2.0.8</w:t>
      </w:r>
      <w:r>
        <w:rPr>
          <w:rFonts w:hint="eastAsia"/>
        </w:rPr>
        <w:t xml:space="preserve">  射频识别技术 </w:t>
      </w:r>
      <w:r>
        <w:t>radio</w:t>
      </w:r>
      <w:r>
        <w:rPr>
          <w:rFonts w:hint="eastAsia"/>
        </w:rPr>
        <w:t xml:space="preserve"> </w:t>
      </w:r>
      <w:r>
        <w:t>frequency</w:t>
      </w:r>
      <w:r>
        <w:rPr>
          <w:rFonts w:hint="eastAsia"/>
        </w:rPr>
        <w:t xml:space="preserve"> </w:t>
      </w:r>
      <w:r>
        <w:t>identification</w:t>
      </w:r>
      <w:r>
        <w:rPr>
          <w:rFonts w:hint="eastAsia"/>
        </w:rPr>
        <w:t>（</w:t>
      </w:r>
      <w:r>
        <w:t>RFID</w:t>
      </w:r>
      <w:r>
        <w:rPr>
          <w:rFonts w:hint="eastAsia"/>
        </w:rPr>
        <w:t>）</w:t>
      </w:r>
    </w:p>
    <w:p w14:paraId="3F7D7079">
      <w:pPr>
        <w:ind w:firstLine="420" w:firstLineChars="200"/>
      </w:pPr>
      <w:r>
        <w:rPr>
          <w:rFonts w:hint="eastAsia"/>
        </w:rPr>
        <w:t>可通过无线电讯号识别特定目标并读写相关数据，而无需识别系统与特定目标之间建立机械或光学接触的通信技术。</w:t>
      </w:r>
    </w:p>
    <w:p w14:paraId="4A50B383">
      <w:pPr>
        <w:rPr>
          <w:b/>
          <w:bCs/>
        </w:rPr>
      </w:pPr>
      <w:r>
        <w:rPr>
          <w:b/>
          <w:bCs/>
        </w:rPr>
        <w:br w:type="page"/>
      </w:r>
    </w:p>
    <w:p w14:paraId="6B864B40">
      <w:pPr>
        <w:pStyle w:val="2"/>
      </w:pPr>
      <w:bookmarkStart w:id="5" w:name="_Toc219878988"/>
      <w:bookmarkStart w:id="6" w:name="_Toc221108969"/>
      <w:r>
        <w:rPr>
          <w:rFonts w:hint="eastAsia"/>
        </w:rPr>
        <w:t>3  基本规定</w:t>
      </w:r>
      <w:bookmarkEnd w:id="5"/>
      <w:bookmarkEnd w:id="6"/>
    </w:p>
    <w:p w14:paraId="1A01BC3B">
      <w:r>
        <w:rPr>
          <w:rFonts w:hint="eastAsia"/>
          <w:b/>
          <w:bCs/>
        </w:rPr>
        <w:t xml:space="preserve">3.0.1 </w:t>
      </w:r>
      <w:r>
        <w:rPr>
          <w:rFonts w:hint="eastAsia"/>
        </w:rPr>
        <w:t xml:space="preserve"> 装配式建筑预制构件信息化管理应采用信息管理系统，并应覆盖设计、生产和安装过程管理。</w:t>
      </w:r>
    </w:p>
    <w:p w14:paraId="4F9EDF27">
      <w:r>
        <w:rPr>
          <w:rFonts w:hint="eastAsia"/>
          <w:b/>
          <w:bCs/>
        </w:rPr>
        <w:t xml:space="preserve">3.0.2 </w:t>
      </w:r>
      <w:r>
        <w:rPr>
          <w:rFonts w:hint="eastAsia"/>
        </w:rPr>
        <w:t xml:space="preserve"> 企业应建立健全适应信息化管理的组织机构和制度，配备信息化管理人员。</w:t>
      </w:r>
    </w:p>
    <w:p w14:paraId="1CE3AC18">
      <w:r>
        <w:rPr>
          <w:rFonts w:hint="eastAsia"/>
          <w:b/>
          <w:bCs/>
        </w:rPr>
        <w:t xml:space="preserve">3.0.3  </w:t>
      </w:r>
      <w:r>
        <w:rPr>
          <w:rFonts w:hint="eastAsia"/>
        </w:rPr>
        <w:t>信息化管理应明确构件编码要求、信息化体现方式及信息保存时间。</w:t>
      </w:r>
    </w:p>
    <w:p w14:paraId="654DCEC9">
      <w:pPr>
        <w:pStyle w:val="57"/>
      </w:pPr>
      <w:r>
        <w:rPr>
          <w:b/>
        </w:rPr>
        <w:t>条文说明：</w:t>
      </w:r>
      <w:r>
        <w:rPr>
          <w:rFonts w:hint="eastAsia"/>
        </w:rPr>
        <w:t>目前常用的信息化体现方式有二维码和RFID芯片，具体采用哪种方式要以方便信息录入和识别为前提。</w:t>
      </w:r>
    </w:p>
    <w:p w14:paraId="7502EC74">
      <w:r>
        <w:rPr>
          <w:rFonts w:hint="eastAsia"/>
          <w:b/>
          <w:bCs/>
        </w:rPr>
        <w:t xml:space="preserve">3.0.4  </w:t>
      </w:r>
      <w:r>
        <w:rPr>
          <w:rFonts w:hint="eastAsia"/>
        </w:rPr>
        <w:t>装配式建筑预制构件的生产、运输、安装等信息应实时同步至信息管理系统。</w:t>
      </w:r>
    </w:p>
    <w:p w14:paraId="0C360C83">
      <w:pPr>
        <w:pStyle w:val="57"/>
      </w:pPr>
      <w:r>
        <w:rPr>
          <w:b/>
        </w:rPr>
        <w:t>条文说明：</w:t>
      </w:r>
      <w:r>
        <w:rPr>
          <w:rFonts w:hint="eastAsia"/>
        </w:rPr>
        <w:t>为保证装配式建筑项目进度监控及工程质量可追溯，构件生产过程、运输、现场验收及安装等信息应实时上传至信息管理系统，上传单位应当对资料的真实性、准确性、有效性负责。</w:t>
      </w:r>
    </w:p>
    <w:p w14:paraId="108AC680">
      <w:r>
        <w:rPr>
          <w:rFonts w:hint="eastAsia"/>
          <w:b/>
          <w:bCs/>
        </w:rPr>
        <w:t>3.0.5</w:t>
      </w:r>
      <w:r>
        <w:rPr>
          <w:rFonts w:hint="eastAsia"/>
        </w:rPr>
        <w:t xml:space="preserve">  信息化管理应符合数据保护和信息安全的有关规定。</w:t>
      </w:r>
    </w:p>
    <w:p w14:paraId="36EDC5DC">
      <w:r>
        <w:rPr>
          <w:rFonts w:hint="eastAsia"/>
        </w:rPr>
        <w:br w:type="page"/>
      </w:r>
    </w:p>
    <w:p w14:paraId="5ACC6CF3">
      <w:pPr>
        <w:pStyle w:val="2"/>
      </w:pPr>
      <w:bookmarkStart w:id="7" w:name="_Toc219878989"/>
      <w:bookmarkStart w:id="8" w:name="_Toc221108970"/>
      <w:r>
        <w:rPr>
          <w:rFonts w:hint="eastAsia"/>
        </w:rPr>
        <w:t>4  信息编码</w:t>
      </w:r>
      <w:bookmarkEnd w:id="7"/>
      <w:bookmarkEnd w:id="8"/>
    </w:p>
    <w:p w14:paraId="6F7C92EC">
      <w:pPr>
        <w:pStyle w:val="3"/>
      </w:pPr>
      <w:bookmarkStart w:id="9" w:name="_Toc221108971"/>
      <w:bookmarkStart w:id="10" w:name="_Toc219878990"/>
      <w:r>
        <w:rPr>
          <w:rFonts w:hint="eastAsia"/>
        </w:rPr>
        <w:t>4.1  一般规定</w:t>
      </w:r>
      <w:bookmarkEnd w:id="9"/>
      <w:bookmarkEnd w:id="10"/>
    </w:p>
    <w:p w14:paraId="191D501D">
      <w:r>
        <w:rPr>
          <w:rFonts w:hint="eastAsia"/>
          <w:b/>
          <w:bCs/>
        </w:rPr>
        <w:t>4.1.1</w:t>
      </w:r>
      <w:r>
        <w:rPr>
          <w:rFonts w:hint="eastAsia"/>
        </w:rPr>
        <w:t xml:space="preserve">  信息分类和编码方法应符合现行国家标准《信息分类和编码的基本原则和方法》GB/T 7027 的有关规定。</w:t>
      </w:r>
    </w:p>
    <w:p w14:paraId="14971D10">
      <w:pPr>
        <w:pStyle w:val="57"/>
      </w:pPr>
      <w:r>
        <w:rPr>
          <w:b/>
        </w:rPr>
        <w:t>条文说明：</w:t>
      </w:r>
      <w:r>
        <w:rPr>
          <w:rFonts w:hint="eastAsia"/>
        </w:rPr>
        <w:t>装配式建筑预制构件的信息分类和编码应根据建筑领域信息化管理的需求，参考国家标准、行业标准有关要求，将信息进行分类和编码，建立起信息编码系统，保证信息交互的唯一性，以便信息的管理和使用。</w:t>
      </w:r>
    </w:p>
    <w:p w14:paraId="0442AEF5">
      <w:r>
        <w:rPr>
          <w:rFonts w:hint="eastAsia"/>
          <w:b/>
          <w:bCs/>
        </w:rPr>
        <w:t>4.1.2</w:t>
      </w:r>
      <w:r>
        <w:rPr>
          <w:rFonts w:hint="eastAsia"/>
        </w:rPr>
        <w:t xml:space="preserve">  信息分类应遵循科学性、系统性、可扩延性、兼容性和综合实用性的基本原则。</w:t>
      </w:r>
    </w:p>
    <w:p w14:paraId="0D3E8CB4">
      <w:pPr>
        <w:pStyle w:val="57"/>
      </w:pPr>
      <w:r>
        <w:rPr>
          <w:b/>
        </w:rPr>
        <w:t>条文说明：</w:t>
      </w:r>
      <w:r>
        <w:rPr>
          <w:rFonts w:hint="eastAsia"/>
        </w:rPr>
        <w:t>系统性是指将选定的事物、概念的属性或特征按一定顺序予以系统化，形成一个科学合理的分类期限。可延扩性是指设置收容类目，以保证增加新的类别时，不打乱已建立的分类体系，同时为下级信息管理系统在本分类体系的基础上进行细化创造条件。兼容性是指应与有关标准协调一致。综合实用性是指分类要从系统工程角度出发，把局部问题放在系统中整体处理，达到系统最优。</w:t>
      </w:r>
    </w:p>
    <w:p w14:paraId="33A88280">
      <w:r>
        <w:rPr>
          <w:rFonts w:hint="eastAsia"/>
          <w:b/>
          <w:bCs/>
        </w:rPr>
        <w:t>4.1.3</w:t>
      </w:r>
      <w:r>
        <w:rPr>
          <w:rFonts w:hint="eastAsia"/>
        </w:rPr>
        <w:t xml:space="preserve">  信息编码应符合唯一性、合理性、规范性、简明性、可扩展性和适用性的要求。</w:t>
      </w:r>
    </w:p>
    <w:p w14:paraId="62A32950">
      <w:pPr>
        <w:pStyle w:val="57"/>
      </w:pPr>
      <w:r>
        <w:rPr>
          <w:b/>
        </w:rPr>
        <w:t>条文说明：</w:t>
      </w:r>
      <w:r>
        <w:rPr>
          <w:rFonts w:hint="eastAsia"/>
        </w:rPr>
        <w:t>合理性是指编码结构应与分类体系相适应。简明性是指编码结构应尽量简单明了，方便信息的录入和识别，并减少编码的出错率。可扩展性是指编码应留有适当的后备容量，以便满足不断扩充的需求。适用性是指编码应尽可能反映编码对象的特点，适用于不同的相关领域，支持系统集成。</w:t>
      </w:r>
    </w:p>
    <w:p w14:paraId="2874C079">
      <w:pPr>
        <w:rPr>
          <w:i/>
          <w:color w:val="000000"/>
          <w:u w:val="single"/>
        </w:rPr>
      </w:pPr>
      <w:r>
        <w:rPr>
          <w:rFonts w:hint="eastAsia"/>
          <w:b/>
          <w:bCs/>
        </w:rPr>
        <w:t>4.1.4</w:t>
      </w:r>
      <w:r>
        <w:rPr>
          <w:rFonts w:hint="eastAsia"/>
        </w:rPr>
        <w:t xml:space="preserve">  其他编码系统可与本标准信息分类和编码结合使用。</w:t>
      </w:r>
    </w:p>
    <w:p w14:paraId="2208B6B4">
      <w:r>
        <w:rPr>
          <w:rFonts w:hint="eastAsia"/>
          <w:b/>
          <w:bCs/>
        </w:rPr>
        <w:t>4.1.5</w:t>
      </w:r>
      <w:r>
        <w:rPr>
          <w:rFonts w:hint="eastAsia"/>
        </w:rPr>
        <w:t xml:space="preserve">  信息编码宜在设计阶段生成，并交互至生产和安装阶段。</w:t>
      </w:r>
    </w:p>
    <w:p w14:paraId="4355DB93">
      <w:r>
        <w:rPr>
          <w:b/>
          <w:i/>
          <w:color w:val="000000"/>
          <w:u w:val="single"/>
        </w:rPr>
        <w:t>条文说明：</w:t>
      </w:r>
      <w:r>
        <w:rPr>
          <w:rFonts w:hint="eastAsia"/>
          <w:i/>
          <w:color w:val="000000"/>
          <w:u w:val="single"/>
        </w:rPr>
        <w:t>宜采用建筑信息模型（BIM）技术进行预制构件加工图设计，并对每个预制构件给予唯一的编号，实现预制构件数字信息的表达与传递，满足生产、运输、安装等环节的需求。</w:t>
      </w:r>
    </w:p>
    <w:p w14:paraId="4FD57B7B">
      <w:r>
        <w:rPr>
          <w:rFonts w:hint="eastAsia"/>
          <w:b/>
          <w:bCs/>
        </w:rPr>
        <w:t>4.1.6</w:t>
      </w:r>
      <w:r>
        <w:rPr>
          <w:rFonts w:hint="eastAsia"/>
        </w:rPr>
        <w:t xml:space="preserve">  信息编码应导入二维码或RFID标签，并可通过移动终端或射频信号接收方式方便获得构件信息。</w:t>
      </w:r>
    </w:p>
    <w:p w14:paraId="4BEEF8CC">
      <w:r>
        <w:rPr>
          <w:rFonts w:hint="eastAsia"/>
          <w:b/>
          <w:bCs/>
        </w:rPr>
        <w:t>4.1.7</w:t>
      </w:r>
      <w:r>
        <w:rPr>
          <w:rFonts w:hint="eastAsia"/>
        </w:rPr>
        <w:t xml:space="preserve">  二维码应设置在适宜位置，并在生产、运输、安装阶段保持完整。RFID标签在预制混凝土构件中埋入可参考附录A。</w:t>
      </w:r>
    </w:p>
    <w:p w14:paraId="29CB7F28">
      <w:r>
        <w:rPr>
          <w:b/>
          <w:i/>
          <w:color w:val="000000"/>
          <w:u w:val="single"/>
        </w:rPr>
        <w:t>条文说明：</w:t>
      </w:r>
      <w:r>
        <w:rPr>
          <w:rFonts w:hint="eastAsia"/>
          <w:i/>
          <w:color w:val="000000"/>
          <w:u w:val="single"/>
        </w:rPr>
        <w:t>二维码应设置在构件的显眼位置，并要做好防污染、防损坏等保护工作，对于在堆场放置时间比较长的构件，在出厂前需要对二维码的有效性进行复核。RFID标签在预制混凝土构件一般采取埋入式，由于埋入构件后无法肉眼观察，需要对不同构件规定确定的埋入方式，确保方便识别。在有条件的情况下，可以在构件埋入RFID标签的表面做简单标识，方便后续的识别。</w:t>
      </w:r>
    </w:p>
    <w:p w14:paraId="7ED9DB39">
      <w:pPr>
        <w:pStyle w:val="3"/>
      </w:pPr>
      <w:bookmarkStart w:id="11" w:name="_Toc219878991"/>
      <w:bookmarkStart w:id="12" w:name="_Toc221108972"/>
      <w:r>
        <w:rPr>
          <w:rFonts w:hint="eastAsia"/>
        </w:rPr>
        <w:t>4.2  信息编码</w:t>
      </w:r>
      <w:bookmarkEnd w:id="11"/>
      <w:bookmarkEnd w:id="12"/>
    </w:p>
    <w:p w14:paraId="06BC14AB">
      <w:r>
        <w:rPr>
          <w:rFonts w:hint="eastAsia"/>
          <w:b/>
          <w:bCs/>
        </w:rPr>
        <w:t>4.2.1</w:t>
      </w:r>
      <w:r>
        <w:rPr>
          <w:rFonts w:hint="eastAsia"/>
        </w:rPr>
        <w:t xml:space="preserve">  装配式建筑预制构件信息编码宜采用基本信息码和特征信息码的两段编码组成（图4.2.1），每段编码之间采用“：”分隔。</w:t>
      </w:r>
    </w:p>
    <w:p w14:paraId="78719A71">
      <w:pPr>
        <w:rPr>
          <w:i/>
          <w:color w:val="000000"/>
          <w:u w:val="single"/>
        </w:rPr>
      </w:pPr>
      <w:r>
        <w:rPr>
          <w:b/>
          <w:i/>
          <w:color w:val="000000"/>
          <w:u w:val="single"/>
        </w:rPr>
        <w:t>条文说明：</w:t>
      </w:r>
      <w:r>
        <w:rPr>
          <w:rFonts w:hint="eastAsia"/>
          <w:i/>
          <w:color w:val="000000"/>
          <w:u w:val="single"/>
        </w:rPr>
        <w:t>编码示例：</w:t>
      </w:r>
    </w:p>
    <w:p w14:paraId="393ED557">
      <w:pPr>
        <w:pStyle w:val="45"/>
      </w:pPr>
      <w:r>
        <w:drawing>
          <wp:inline distT="0" distB="0" distL="0" distR="0">
            <wp:extent cx="5274310" cy="1373505"/>
            <wp:effectExtent l="0" t="0" r="2540" b="0"/>
            <wp:docPr id="336774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74389"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1373505"/>
                    </a:xfrm>
                    <a:prstGeom prst="rect">
                      <a:avLst/>
                    </a:prstGeom>
                    <a:noFill/>
                    <a:ln>
                      <a:noFill/>
                    </a:ln>
                  </pic:spPr>
                </pic:pic>
              </a:graphicData>
            </a:graphic>
          </wp:inline>
        </w:drawing>
      </w:r>
    </w:p>
    <w:p w14:paraId="425E7B28">
      <w:pPr>
        <w:pStyle w:val="45"/>
      </w:pPr>
      <w:r>
        <w:t>图</w:t>
      </w:r>
      <w:r>
        <w:rPr>
          <w:rFonts w:hint="eastAsia"/>
        </w:rPr>
        <w:t xml:space="preserve"> 4.2.1 编码实例</w:t>
      </w:r>
    </w:p>
    <w:p w14:paraId="3A8B40D9">
      <w:r>
        <w:rPr>
          <w:rFonts w:hint="eastAsia"/>
          <w:b/>
          <w:bCs/>
        </w:rPr>
        <w:t>4.2.2</w:t>
      </w:r>
      <w:r>
        <w:rPr>
          <w:rFonts w:hint="eastAsia"/>
        </w:rPr>
        <w:t xml:space="preserve">  装配式建筑预制构件基本信息</w:t>
      </w:r>
      <w:bookmarkStart w:id="13" w:name="OLE_LINK7"/>
      <w:r>
        <w:rPr>
          <w:rFonts w:hint="eastAsia"/>
        </w:rPr>
        <w:t>码</w:t>
      </w:r>
      <w:bookmarkEnd w:id="13"/>
      <w:r>
        <w:rPr>
          <w:rFonts w:hint="eastAsia"/>
        </w:rPr>
        <w:t>应符合以下规定：</w:t>
      </w:r>
    </w:p>
    <w:p w14:paraId="0B43A14C">
      <w:pPr>
        <w:pStyle w:val="52"/>
        <w:ind w:firstLine="422"/>
      </w:pPr>
      <w:r>
        <w:rPr>
          <w:rFonts w:hint="eastAsia"/>
          <w:b/>
          <w:bCs/>
        </w:rPr>
        <w:t>1</w:t>
      </w:r>
      <w:r>
        <w:rPr>
          <w:rFonts w:hint="eastAsia"/>
        </w:rPr>
        <w:t xml:space="preserve">  基本信息码应由项目代码、楼号代码和层号代码组成，每段代码之间采用“/”分隔。</w:t>
      </w:r>
    </w:p>
    <w:p w14:paraId="3C8F99A1">
      <w:pPr>
        <w:pStyle w:val="52"/>
        <w:ind w:firstLine="422"/>
      </w:pPr>
      <w:r>
        <w:rPr>
          <w:rFonts w:hint="eastAsia"/>
          <w:b/>
          <w:bCs/>
        </w:rPr>
        <w:t>2</w:t>
      </w:r>
      <w:r>
        <w:rPr>
          <w:rFonts w:hint="eastAsia"/>
        </w:rPr>
        <w:t xml:space="preserve">  项目代码采用重庆市建筑产业现代化管理平台规定的项目代码。</w:t>
      </w:r>
    </w:p>
    <w:p w14:paraId="6C059817">
      <w:pPr>
        <w:pStyle w:val="52"/>
        <w:ind w:firstLine="422"/>
      </w:pPr>
      <w:r>
        <w:rPr>
          <w:rFonts w:hint="eastAsia"/>
          <w:b/>
          <w:bCs/>
        </w:rPr>
        <w:t>3</w:t>
      </w:r>
      <w:r>
        <w:rPr>
          <w:rFonts w:hint="eastAsia"/>
        </w:rPr>
        <w:t xml:space="preserve">  楼号代码应由1~3位数字或字母表示。</w:t>
      </w:r>
    </w:p>
    <w:p w14:paraId="2DA8AC0F">
      <w:pPr>
        <w:pStyle w:val="52"/>
        <w:ind w:firstLine="422"/>
      </w:pPr>
      <w:r>
        <w:rPr>
          <w:rFonts w:hint="eastAsia"/>
          <w:b/>
          <w:bCs/>
        </w:rPr>
        <w:t>4</w:t>
      </w:r>
      <w:r>
        <w:rPr>
          <w:rFonts w:hint="eastAsia"/>
        </w:rPr>
        <w:t xml:space="preserve">  层（节）号代码应由1~5位数字或字母表示。构件出现越层时，层号代码应对应起止楼层，中间用英文“-”分隔。</w:t>
      </w:r>
    </w:p>
    <w:p w14:paraId="3ADD7F1C">
      <w:r>
        <w:rPr>
          <w:rFonts w:hint="eastAsia"/>
          <w:b/>
          <w:bCs/>
        </w:rPr>
        <w:t>4.2.3</w:t>
      </w:r>
      <w:r>
        <w:rPr>
          <w:rFonts w:hint="eastAsia"/>
        </w:rPr>
        <w:t xml:space="preserve">  装配式建筑预制构件特征信息码应符合以下规定：</w:t>
      </w:r>
    </w:p>
    <w:p w14:paraId="5E622FD5">
      <w:pPr>
        <w:pStyle w:val="52"/>
        <w:ind w:firstLine="422"/>
      </w:pPr>
      <w:r>
        <w:rPr>
          <w:rFonts w:hint="eastAsia"/>
          <w:b/>
          <w:bCs/>
        </w:rPr>
        <w:t>1</w:t>
      </w:r>
      <w:r>
        <w:rPr>
          <w:rFonts w:hint="eastAsia"/>
        </w:rPr>
        <w:t xml:space="preserve">  特征信息码应由构件类型代码、构件名称代码和识别码组成，每段代码之间采用“/”分隔。</w:t>
      </w:r>
    </w:p>
    <w:p w14:paraId="77D1F656">
      <w:pPr>
        <w:pStyle w:val="52"/>
        <w:ind w:firstLine="422"/>
      </w:pPr>
      <w:r>
        <w:rPr>
          <w:rFonts w:hint="eastAsia"/>
          <w:b/>
          <w:bCs/>
        </w:rPr>
        <w:t>2</w:t>
      </w:r>
      <w:r>
        <w:rPr>
          <w:rFonts w:hint="eastAsia"/>
        </w:rPr>
        <w:t xml:space="preserve">  构件类型代码构件类型代码应由4~6位字符表示，应符合附录B的有关规定。</w:t>
      </w:r>
    </w:p>
    <w:p w14:paraId="4CE43A07">
      <w:pPr>
        <w:pStyle w:val="52"/>
        <w:ind w:firstLine="422"/>
      </w:pPr>
      <w:r>
        <w:rPr>
          <w:rFonts w:hint="eastAsia"/>
          <w:b/>
          <w:bCs/>
        </w:rPr>
        <w:t>3</w:t>
      </w:r>
      <w:r>
        <w:rPr>
          <w:rFonts w:hint="eastAsia"/>
        </w:rPr>
        <w:t xml:space="preserve">  构件名称代码应由2~10位字符表示，并应与施工图纸中对应构件名称一致。</w:t>
      </w:r>
    </w:p>
    <w:p w14:paraId="6A92F0E3">
      <w:pPr>
        <w:pStyle w:val="52"/>
        <w:ind w:firstLine="420"/>
      </w:pPr>
      <w:r>
        <w:rPr>
          <w:rFonts w:hint="eastAsia"/>
        </w:rPr>
        <w:t>4  识别码应由1~4字符表示，并应与施工图纸中编号一致。</w:t>
      </w:r>
    </w:p>
    <w:p w14:paraId="22302635">
      <w:pPr>
        <w:pStyle w:val="52"/>
        <w:ind w:firstLine="0" w:firstLineChars="0"/>
      </w:pPr>
      <w:r>
        <w:rPr>
          <w:b/>
          <w:i/>
          <w:color w:val="000000"/>
          <w:u w:val="single"/>
        </w:rPr>
        <w:t>条文说明：</w:t>
      </w:r>
      <w:r>
        <w:rPr>
          <w:rFonts w:hint="eastAsia"/>
          <w:i/>
          <w:color w:val="000000"/>
          <w:u w:val="single"/>
        </w:rPr>
        <w:t>构件名称代码主要用来区分同一类别中的不同种类，比如板类构件有叠合板、楼承板、双T板等；预制柱有实心预制柱、空腔柱等。识别码是构件的重要身份信息，须具备唯一性，并且要与构件布置图中的编码一致，进行构件现场安装时主要靠识别码定位现场的具体安装位置。</w:t>
      </w:r>
    </w:p>
    <w:p w14:paraId="2C368EC1">
      <w:pPr>
        <w:pStyle w:val="2"/>
      </w:pPr>
      <w:bookmarkStart w:id="14" w:name="_Toc219878992"/>
      <w:bookmarkStart w:id="15" w:name="_Toc221108973"/>
      <w:r>
        <w:rPr>
          <w:rFonts w:hint="eastAsia"/>
        </w:rPr>
        <w:t>5  信息化管理</w:t>
      </w:r>
      <w:bookmarkEnd w:id="14"/>
      <w:bookmarkEnd w:id="15"/>
    </w:p>
    <w:p w14:paraId="440F513D"/>
    <w:p w14:paraId="1AAC63CF">
      <w:pPr>
        <w:pStyle w:val="3"/>
      </w:pPr>
      <w:bookmarkStart w:id="16" w:name="_Toc219878993"/>
      <w:bookmarkStart w:id="17" w:name="_Toc221108974"/>
      <w:r>
        <w:rPr>
          <w:rFonts w:hint="eastAsia"/>
        </w:rPr>
        <w:t>5.1  一般规定</w:t>
      </w:r>
      <w:bookmarkEnd w:id="16"/>
      <w:bookmarkEnd w:id="17"/>
    </w:p>
    <w:p w14:paraId="627DBD16">
      <w:r>
        <w:rPr>
          <w:rFonts w:hint="eastAsia"/>
          <w:b/>
          <w:bCs/>
        </w:rPr>
        <w:t>5.1.1</w:t>
      </w:r>
      <w:r>
        <w:rPr>
          <w:rFonts w:hint="eastAsia"/>
        </w:rPr>
        <w:t xml:space="preserve">  装配式建筑预制构件信息化管理应包括设计管理、生产管理、安装管理。</w:t>
      </w:r>
    </w:p>
    <w:p w14:paraId="0CCBDA60">
      <w:r>
        <w:rPr>
          <w:rFonts w:hint="eastAsia"/>
          <w:b/>
          <w:bCs/>
        </w:rPr>
        <w:t>5.1.2</w:t>
      </w:r>
      <w:r>
        <w:rPr>
          <w:rFonts w:hint="eastAsia"/>
        </w:rPr>
        <w:t xml:space="preserve">  装配式建筑预制构件信息化管理流程如图5.1.2所示。</w:t>
      </w:r>
    </w:p>
    <w:p w14:paraId="03853F23">
      <w:r>
        <w:drawing>
          <wp:inline distT="0" distB="0" distL="0" distR="0">
            <wp:extent cx="5274310" cy="3234690"/>
            <wp:effectExtent l="0" t="0" r="2540" b="3810"/>
            <wp:docPr id="1842683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8321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234690"/>
                    </a:xfrm>
                    <a:prstGeom prst="rect">
                      <a:avLst/>
                    </a:prstGeom>
                    <a:noFill/>
                    <a:ln>
                      <a:noFill/>
                    </a:ln>
                  </pic:spPr>
                </pic:pic>
              </a:graphicData>
            </a:graphic>
          </wp:inline>
        </w:drawing>
      </w:r>
    </w:p>
    <w:p w14:paraId="29D3E647">
      <w:pPr>
        <w:pStyle w:val="45"/>
      </w:pPr>
      <w:r>
        <w:rPr>
          <w:rFonts w:hint="eastAsia"/>
        </w:rPr>
        <w:t>图5.1.2 信息化管理流程</w:t>
      </w:r>
    </w:p>
    <w:p w14:paraId="4135ECFD">
      <w:pPr>
        <w:pStyle w:val="57"/>
        <w:rPr>
          <w:b/>
          <w:bCs/>
        </w:rPr>
      </w:pPr>
      <w:r>
        <w:rPr>
          <w:b/>
        </w:rPr>
        <w:t>条文说明：</w:t>
      </w:r>
      <w:r>
        <w:rPr>
          <w:rFonts w:hint="eastAsia"/>
        </w:rPr>
        <w:t>在项目不同阶段，不同参与方应通过建筑信息模型进行信息传递和反馈，以支持和反映协同作业。应采用建筑信息模型（BIM）、物联网、无线射频技术、二维码技术、计算机辅助制造（CAM）、企业资源计划管理、大数据、云计算等技术对装配式建筑预制构件的设计、生产和安装进行管理。</w:t>
      </w:r>
    </w:p>
    <w:p w14:paraId="4CD16C6B">
      <w:r>
        <w:rPr>
          <w:rFonts w:hint="eastAsia"/>
          <w:b/>
          <w:bCs/>
        </w:rPr>
        <w:t>5.1.3</w:t>
      </w:r>
      <w:r>
        <w:rPr>
          <w:rFonts w:hint="eastAsia"/>
        </w:rPr>
        <w:t xml:space="preserve">  设计单位向生产单位交付的成果应包括设计图纸和BIM模型成果文件，并应符合现行国家标准《建筑信息模型设计交付标准》GB/T 51301及《建筑信息模型应用统一标准》GB/T 51212的有关规定。</w:t>
      </w:r>
    </w:p>
    <w:p w14:paraId="19391BCA">
      <w:r>
        <w:rPr>
          <w:b/>
          <w:i/>
          <w:color w:val="000000"/>
          <w:u w:val="single"/>
        </w:rPr>
        <w:t>条文说明：</w:t>
      </w:r>
      <w:r>
        <w:rPr>
          <w:rFonts w:hint="eastAsia"/>
          <w:i/>
          <w:color w:val="000000"/>
          <w:u w:val="single"/>
        </w:rPr>
        <w:t>构件生产单位以设计单位移交的设计成果为基础，并宜建立生产构件的BIM模型，但BIM模型不能替代现行相关标准交付图纸、文档的要求。</w:t>
      </w:r>
    </w:p>
    <w:p w14:paraId="3EEBE2D5">
      <w:r>
        <w:rPr>
          <w:rFonts w:hint="eastAsia"/>
          <w:b/>
          <w:bCs/>
        </w:rPr>
        <w:t>5.1.4</w:t>
      </w:r>
      <w:r>
        <w:rPr>
          <w:rFonts w:hint="eastAsia"/>
        </w:rPr>
        <w:t xml:space="preserve">  装配式建筑预制构件信息管理宜采用BIM模型贯穿整个设计、生产、安装全过程。</w:t>
      </w:r>
    </w:p>
    <w:p w14:paraId="7A69E608">
      <w:r>
        <w:rPr>
          <w:rStyle w:val="58"/>
          <w:rFonts w:hint="eastAsia"/>
          <w:b/>
          <w:bCs/>
        </w:rPr>
        <w:t>条文说明</w:t>
      </w:r>
      <w:r>
        <w:rPr>
          <w:rStyle w:val="58"/>
          <w:rFonts w:hint="eastAsia"/>
        </w:rPr>
        <w:t>：本条提倡BIM技术应用于预制构件信息管理全过程，并且BIM模型应具有唯一性、可交换性，确保信息可以顺利在各阶段传递和交付。模型交付应包括信息所有权的状态、信息的创建者和更新者、创建和更新的记录以及使用软件版本等信息。</w:t>
      </w:r>
    </w:p>
    <w:p w14:paraId="4BAACD3F">
      <w:pPr>
        <w:pStyle w:val="3"/>
      </w:pPr>
      <w:bookmarkStart w:id="18" w:name="_Toc221108975"/>
      <w:bookmarkStart w:id="19" w:name="_Toc219878994"/>
      <w:r>
        <w:rPr>
          <w:rFonts w:hint="eastAsia"/>
        </w:rPr>
        <w:t>5.2  设计管理</w:t>
      </w:r>
      <w:bookmarkEnd w:id="18"/>
      <w:bookmarkEnd w:id="19"/>
    </w:p>
    <w:p w14:paraId="7290CBF7">
      <w:r>
        <w:rPr>
          <w:rFonts w:hint="eastAsia"/>
          <w:b/>
          <w:bCs/>
        </w:rPr>
        <w:t>5.2.1</w:t>
      </w:r>
      <w:r>
        <w:rPr>
          <w:rFonts w:hint="eastAsia"/>
        </w:rPr>
        <w:t xml:space="preserve">  设计管理应包括模型管理、图纸管理和变更管理。</w:t>
      </w:r>
    </w:p>
    <w:p w14:paraId="37EDBA04">
      <w:r>
        <w:rPr>
          <w:rFonts w:hint="eastAsia"/>
          <w:b/>
          <w:bCs/>
        </w:rPr>
        <w:t>5.2.2</w:t>
      </w:r>
      <w:r>
        <w:rPr>
          <w:rFonts w:hint="eastAsia"/>
        </w:rPr>
        <w:t xml:space="preserve">  BIM模型应满足生产单位和安装单位的协同工作的需要，并且实时关联图纸。</w:t>
      </w:r>
    </w:p>
    <w:p w14:paraId="36060BE3">
      <w:r>
        <w:rPr>
          <w:rStyle w:val="58"/>
          <w:rFonts w:hint="eastAsia"/>
          <w:b/>
          <w:bCs/>
        </w:rPr>
        <w:t>条文说明</w:t>
      </w:r>
      <w:r>
        <w:rPr>
          <w:rStyle w:val="58"/>
          <w:rFonts w:hint="eastAsia"/>
        </w:rPr>
        <w:t>：预制构件信息管理在设计、生产、安装阶段应采用BIM模型为信息载体，需要各方在模型上协调进行信息管理，才能保证整个过程准确、流程。同时图纸应由模型生成，只有模型准确才能保证图纸准确。</w:t>
      </w:r>
    </w:p>
    <w:p w14:paraId="2102D48A">
      <w:r>
        <w:rPr>
          <w:rFonts w:hint="eastAsia"/>
          <w:b/>
          <w:bCs/>
        </w:rPr>
        <w:t>5.2.3</w:t>
      </w:r>
      <w:r>
        <w:rPr>
          <w:rFonts w:hint="eastAsia"/>
        </w:rPr>
        <w:t xml:space="preserve">  图纸管理应对装配式建筑预制构件布置图、构件加工图、节点连接图进行编码并进行集中管理。</w:t>
      </w:r>
    </w:p>
    <w:p w14:paraId="04A07A25">
      <w:pPr>
        <w:pStyle w:val="57"/>
      </w:pPr>
      <w:r>
        <w:rPr>
          <w:rFonts w:hint="eastAsia"/>
        </w:rPr>
        <w:t>条文说明：图纸是设计产生的重要文件，是指导生产和安装的依据，必须严格集中管理。根据图纸的编码可以实时跟踪图纸的状态，确保准确指导生产和安装。</w:t>
      </w:r>
    </w:p>
    <w:p w14:paraId="1B7A7FE9">
      <w:r>
        <w:rPr>
          <w:rFonts w:hint="eastAsia"/>
          <w:b/>
          <w:bCs/>
        </w:rPr>
        <w:t>5.2.4</w:t>
      </w:r>
      <w:r>
        <w:rPr>
          <w:rFonts w:hint="eastAsia"/>
        </w:rPr>
        <w:t xml:space="preserve">  变更管理应及时传递变更信息至生产单位和安装单位，并确保变更信息在BIM模型和图纸同步更新。</w:t>
      </w:r>
    </w:p>
    <w:p w14:paraId="4589D666">
      <w:r>
        <w:rPr>
          <w:rStyle w:val="58"/>
          <w:rFonts w:hint="eastAsia"/>
          <w:b/>
          <w:bCs/>
        </w:rPr>
        <w:t>条文说明</w:t>
      </w:r>
      <w:r>
        <w:rPr>
          <w:rStyle w:val="58"/>
          <w:rFonts w:hint="eastAsia"/>
        </w:rPr>
        <w:t>：设计变更信息，为保证现场的安装进度，预制构件生产阶段需要提前准备构件生产并有一段养护期，设计发生变更时，生产单位可能已经生产了一部分预制构件，此时设计单位应及时传递变更信息至生产单位和安装单位，并共同协商涉及变更的已生产部分预制构件的处理方式，将变更带来的影响降至最低</w:t>
      </w:r>
      <w:r>
        <w:rPr>
          <w:rFonts w:hint="eastAsia"/>
        </w:rPr>
        <w:t>。</w:t>
      </w:r>
    </w:p>
    <w:p w14:paraId="53F2EF34">
      <w:pPr>
        <w:pStyle w:val="3"/>
      </w:pPr>
      <w:bookmarkStart w:id="20" w:name="_Toc221108976"/>
      <w:bookmarkStart w:id="21" w:name="_Toc219878995"/>
      <w:r>
        <w:rPr>
          <w:rFonts w:hint="eastAsia"/>
        </w:rPr>
        <w:t>5.3  生产管理</w:t>
      </w:r>
      <w:bookmarkEnd w:id="20"/>
      <w:bookmarkEnd w:id="21"/>
    </w:p>
    <w:p w14:paraId="29CF8A2A">
      <w:r>
        <w:rPr>
          <w:rFonts w:hint="eastAsia"/>
          <w:b/>
          <w:bCs/>
        </w:rPr>
        <w:t>5.3.1</w:t>
      </w:r>
      <w:r>
        <w:rPr>
          <w:rFonts w:hint="eastAsia"/>
        </w:rPr>
        <w:t xml:space="preserve">  生产单位应采用信息管理系统对生产过程进行动态管理。</w:t>
      </w:r>
    </w:p>
    <w:p w14:paraId="19F432CB">
      <w:r>
        <w:rPr>
          <w:rFonts w:hint="eastAsia"/>
          <w:b/>
          <w:bCs/>
        </w:rPr>
        <w:t>5.3.2</w:t>
      </w:r>
      <w:r>
        <w:rPr>
          <w:rFonts w:hint="eastAsia"/>
        </w:rPr>
        <w:t xml:space="preserve">  生产管理应涵盖装配式建筑预制构件的深化设计、原材料、加工制作、出入库、运输等生产过程，并应包括图纸物料清单管理、生产计划管理、材料管理、工艺管理、进度管理、质量与安全管理、出入库管理和成品运输管理。</w:t>
      </w:r>
    </w:p>
    <w:p w14:paraId="484D5ECD">
      <w:r>
        <w:rPr>
          <w:rFonts w:hint="eastAsia"/>
          <w:b/>
          <w:bCs/>
        </w:rPr>
        <w:t>5.3.3</w:t>
      </w:r>
      <w:r>
        <w:rPr>
          <w:rFonts w:hint="eastAsia"/>
        </w:rPr>
        <w:t xml:space="preserve">  生产计划管理应根据BIM模型、图纸、BOM清单编制生产计划，并应符合以下规定：</w:t>
      </w:r>
    </w:p>
    <w:p w14:paraId="5B3ABC22">
      <w:pPr>
        <w:pStyle w:val="52"/>
        <w:ind w:firstLine="420"/>
      </w:pPr>
      <w:r>
        <w:rPr>
          <w:rFonts w:hint="eastAsia"/>
        </w:rPr>
        <w:t>1  生产计划应根据BIM模型、图纸、物流清单、现场需求计划等信息进行编制，需要统筹考虑生产全过程。</w:t>
      </w:r>
    </w:p>
    <w:p w14:paraId="77504023">
      <w:pPr>
        <w:pStyle w:val="52"/>
        <w:ind w:firstLine="420"/>
      </w:pPr>
      <w:r>
        <w:rPr>
          <w:rFonts w:hint="eastAsia"/>
        </w:rPr>
        <w:t>2  对生产进度应进行动态监控和管理，对可能的风险及时进行预警；</w:t>
      </w:r>
    </w:p>
    <w:p w14:paraId="5CB96C1C">
      <w:pPr>
        <w:pStyle w:val="52"/>
        <w:ind w:firstLine="420"/>
      </w:pPr>
      <w:r>
        <w:rPr>
          <w:rFonts w:hint="eastAsia"/>
        </w:rPr>
        <w:t>3  及时同步生产进度和现场安装进度信息，对生产计划进行动态管理。</w:t>
      </w:r>
    </w:p>
    <w:p w14:paraId="50754F81">
      <w:pPr>
        <w:pStyle w:val="57"/>
      </w:pPr>
      <w:r>
        <w:rPr>
          <w:rFonts w:hint="eastAsia"/>
          <w:b/>
          <w:bCs/>
        </w:rPr>
        <w:t>条文说明</w:t>
      </w:r>
      <w:r>
        <w:rPr>
          <w:rFonts w:hint="eastAsia"/>
        </w:rPr>
        <w:t>：生产计划管理是整个生产管理的重点，涉及物资供应情况、现场需求情况、生产设备情况、产业工人匹配等多个方面，所以要统筹考虑生产全过程才能达到优化成本和及时供应的要求。同时生产计划的影响因素较多，需要进行动态管理才能达到最优效果。</w:t>
      </w:r>
    </w:p>
    <w:p w14:paraId="3F77DFD4">
      <w:r>
        <w:rPr>
          <w:rFonts w:hint="eastAsia"/>
          <w:b/>
          <w:bCs/>
        </w:rPr>
        <w:t>5.3.4</w:t>
      </w:r>
      <w:r>
        <w:rPr>
          <w:rFonts w:hint="eastAsia"/>
        </w:rPr>
        <w:t xml:space="preserve">  材料管理包含应采购、质检、入库、领用、配送、库存等环节，并应符合以下规定：</w:t>
      </w:r>
    </w:p>
    <w:p w14:paraId="74D2AB4B">
      <w:pPr>
        <w:pStyle w:val="52"/>
        <w:ind w:firstLine="420"/>
      </w:pPr>
      <w:r>
        <w:rPr>
          <w:rFonts w:hint="eastAsia"/>
        </w:rPr>
        <w:t>1  材料管理应采用多级管理模式，提高管理效率；</w:t>
      </w:r>
    </w:p>
    <w:p w14:paraId="51024FEF">
      <w:pPr>
        <w:pStyle w:val="52"/>
        <w:ind w:firstLine="420"/>
      </w:pPr>
      <w:r>
        <w:rPr>
          <w:rFonts w:hint="eastAsia"/>
        </w:rPr>
        <w:t>2  应根据物料清单、生产计划、材料库存等情况编制材料采购计划，根据计划进行材料采购；</w:t>
      </w:r>
    </w:p>
    <w:p w14:paraId="60C16F0C">
      <w:pPr>
        <w:pStyle w:val="52"/>
        <w:ind w:firstLine="420"/>
      </w:pPr>
      <w:r>
        <w:rPr>
          <w:rFonts w:hint="eastAsia"/>
        </w:rPr>
        <w:t>3  材料管理全过程应进行动态管理，各环节信息实时进行同步更新。</w:t>
      </w:r>
    </w:p>
    <w:p w14:paraId="77CDF66C">
      <w:pPr>
        <w:pStyle w:val="52"/>
        <w:ind w:firstLine="420"/>
      </w:pPr>
      <w:r>
        <w:rPr>
          <w:rFonts w:hint="eastAsia"/>
        </w:rPr>
        <w:t>4  材料进场应进行质量验收，验收情况信息应及时存储，资料录入信息管理系统中。</w:t>
      </w:r>
    </w:p>
    <w:p w14:paraId="33738FFC">
      <w:pPr>
        <w:pStyle w:val="57"/>
      </w:pPr>
      <w:r>
        <w:rPr>
          <w:b/>
        </w:rPr>
        <w:t>条文说明：</w:t>
      </w:r>
      <w:r>
        <w:rPr>
          <w:rFonts w:hint="eastAsia"/>
        </w:rPr>
        <w:t>预制构件材料种类较多，比如混凝土预制构件生产需要几十种材料，每种材料采用同样的方式不仅信息量巨大，还容易造成管理低效。宜根据材料特性进行分级管理，比如混凝土预制构件中的钢筋等主要材料、钢结构中的钢材等主要材料可以采用理论值加损耗的方式进行详细管理，对于成本比较低的耗材可以采用定额管理方式，提升管理效率。</w:t>
      </w:r>
    </w:p>
    <w:p w14:paraId="73678F09">
      <w:r>
        <w:rPr>
          <w:rFonts w:hint="eastAsia"/>
          <w:b/>
          <w:bCs/>
        </w:rPr>
        <w:t>5.3.5</w:t>
      </w:r>
      <w:r>
        <w:rPr>
          <w:rFonts w:hint="eastAsia"/>
        </w:rPr>
        <w:t xml:space="preserve">  质量与安全管理应符合以下规定：</w:t>
      </w:r>
    </w:p>
    <w:p w14:paraId="66E739F6">
      <w:pPr>
        <w:pStyle w:val="52"/>
        <w:ind w:firstLine="422"/>
      </w:pPr>
      <w:r>
        <w:rPr>
          <w:rFonts w:hint="eastAsia"/>
          <w:b/>
          <w:bCs/>
        </w:rPr>
        <w:t>1</w:t>
      </w:r>
      <w:r>
        <w:rPr>
          <w:rFonts w:hint="eastAsia"/>
        </w:rPr>
        <w:t xml:space="preserve">  质量管理应包含原材料、生产过程、成品全过程，各阶段质量检验资料应及时存储。应在前一道工序质检合格后，方可进行下一道工序作业，在质检过程中将相应验收信息与验收记录及时录入信息管理系统中；</w:t>
      </w:r>
    </w:p>
    <w:p w14:paraId="4FA78F92">
      <w:pPr>
        <w:pStyle w:val="52"/>
        <w:ind w:firstLine="422"/>
      </w:pPr>
      <w:r>
        <w:rPr>
          <w:rFonts w:hint="eastAsia"/>
          <w:b/>
          <w:bCs/>
        </w:rPr>
        <w:t>2</w:t>
      </w:r>
      <w:r>
        <w:rPr>
          <w:rFonts w:hint="eastAsia"/>
        </w:rPr>
        <w:t xml:space="preserve">  生产过程质量检验信息及时上传至生产管理系统进行管理；</w:t>
      </w:r>
    </w:p>
    <w:p w14:paraId="6A3BC1E2">
      <w:pPr>
        <w:pStyle w:val="52"/>
        <w:ind w:firstLine="422"/>
      </w:pPr>
      <w:r>
        <w:rPr>
          <w:rFonts w:hint="eastAsia"/>
          <w:b/>
          <w:bCs/>
        </w:rPr>
        <w:t>3</w:t>
      </w:r>
      <w:r>
        <w:rPr>
          <w:rFonts w:hint="eastAsia"/>
        </w:rPr>
        <w:t xml:space="preserve">  生产过程应对危险源进行动态管理，建立安全监控、识别及预警机制。</w:t>
      </w:r>
    </w:p>
    <w:p w14:paraId="1189DFE2">
      <w:r>
        <w:rPr>
          <w:rFonts w:hint="eastAsia"/>
          <w:b/>
          <w:bCs/>
        </w:rPr>
        <w:t>5.3.6</w:t>
      </w:r>
      <w:r>
        <w:rPr>
          <w:rFonts w:hint="eastAsia"/>
        </w:rPr>
        <w:t xml:space="preserve">  出入库管理应符合以下规定：</w:t>
      </w:r>
    </w:p>
    <w:p w14:paraId="715EA057">
      <w:pPr>
        <w:pStyle w:val="52"/>
        <w:ind w:firstLine="422"/>
      </w:pPr>
      <w:r>
        <w:rPr>
          <w:rFonts w:hint="eastAsia"/>
          <w:b/>
          <w:bCs/>
        </w:rPr>
        <w:t>1</w:t>
      </w:r>
      <w:r>
        <w:rPr>
          <w:rFonts w:hint="eastAsia"/>
        </w:rPr>
        <w:t xml:space="preserve">  应在信息管理系统建立数字堆场，对预制构件入库、存放、出库进行可视化管理；</w:t>
      </w:r>
    </w:p>
    <w:p w14:paraId="563A0F22">
      <w:pPr>
        <w:pStyle w:val="52"/>
        <w:ind w:firstLine="422"/>
      </w:pPr>
      <w:r>
        <w:rPr>
          <w:b/>
          <w:bCs/>
        </w:rPr>
        <w:t>2</w:t>
      </w:r>
      <w:r>
        <w:rPr>
          <w:rFonts w:hint="eastAsia"/>
        </w:rPr>
        <w:t xml:space="preserve">  预制构件入库、出库前应进行质量检验，确保出入库构件均为质量合格构件。</w:t>
      </w:r>
    </w:p>
    <w:p w14:paraId="0C6369FD">
      <w:pPr>
        <w:pStyle w:val="52"/>
        <w:ind w:firstLine="0" w:firstLineChars="0"/>
        <w:rPr>
          <w:i/>
          <w:color w:val="000000"/>
          <w:u w:val="single"/>
        </w:rPr>
      </w:pPr>
      <w:r>
        <w:rPr>
          <w:b/>
          <w:i/>
          <w:color w:val="000000"/>
          <w:u w:val="single"/>
        </w:rPr>
        <w:t>条文说明：</w:t>
      </w:r>
      <w:r>
        <w:rPr>
          <w:rFonts w:hint="eastAsia"/>
          <w:i/>
          <w:color w:val="000000"/>
          <w:u w:val="single"/>
        </w:rPr>
        <w:t>预制构件需要提前生产并且在堆场需要存储一段时间再运输至现场安装，存储过程中有可能出现构件损伤的情况，所以需要在出库时再次进行质量检验，特别是外观检验，确保出库构件质量。</w:t>
      </w:r>
    </w:p>
    <w:p w14:paraId="5CE5D232">
      <w:r>
        <w:rPr>
          <w:rFonts w:hint="eastAsia"/>
          <w:b/>
          <w:bCs/>
        </w:rPr>
        <w:t>5.3.7</w:t>
      </w:r>
      <w:r>
        <w:rPr>
          <w:rFonts w:hint="eastAsia"/>
        </w:rPr>
        <w:t xml:space="preserve">  成品运输管理应符合以下规定：</w:t>
      </w:r>
    </w:p>
    <w:p w14:paraId="77BDA659">
      <w:pPr>
        <w:pStyle w:val="52"/>
        <w:ind w:firstLine="422"/>
      </w:pPr>
      <w:r>
        <w:rPr>
          <w:rFonts w:hint="eastAsia"/>
          <w:b/>
          <w:bCs/>
        </w:rPr>
        <w:t>1</w:t>
      </w:r>
      <w:r>
        <w:rPr>
          <w:rFonts w:hint="eastAsia"/>
        </w:rPr>
        <w:t xml:space="preserve">  应根据现场安装计划制定成品运输计划，确保现场安装进度；</w:t>
      </w:r>
    </w:p>
    <w:p w14:paraId="41A38A89">
      <w:pPr>
        <w:pStyle w:val="52"/>
        <w:ind w:firstLine="422"/>
      </w:pPr>
      <w:r>
        <w:rPr>
          <w:rFonts w:hint="eastAsia"/>
          <w:b/>
          <w:bCs/>
        </w:rPr>
        <w:t>2</w:t>
      </w:r>
      <w:r>
        <w:rPr>
          <w:rFonts w:hint="eastAsia"/>
        </w:rPr>
        <w:t xml:space="preserve">  预制构件信息与车辆信息应进行关联，并采用定位系统对运输车辆路径进行实施跟踪和记录；</w:t>
      </w:r>
    </w:p>
    <w:p w14:paraId="3A067A51">
      <w:pPr>
        <w:pStyle w:val="52"/>
        <w:ind w:firstLine="422"/>
      </w:pPr>
      <w:r>
        <w:rPr>
          <w:b/>
          <w:bCs/>
        </w:rPr>
        <w:t>3</w:t>
      </w:r>
      <w:r>
        <w:rPr>
          <w:rFonts w:hint="eastAsia"/>
        </w:rPr>
        <w:t xml:space="preserve">  现场确认、签收信息应及时上传信息管理系统，形成运输管理闭环。</w:t>
      </w:r>
    </w:p>
    <w:p w14:paraId="258F5962">
      <w:pPr>
        <w:pStyle w:val="3"/>
      </w:pPr>
      <w:bookmarkStart w:id="22" w:name="_Toc221108977"/>
      <w:bookmarkStart w:id="23" w:name="_Toc219878996"/>
      <w:r>
        <w:rPr>
          <w:rFonts w:hint="eastAsia"/>
        </w:rPr>
        <w:t>5.4  现场安装管理</w:t>
      </w:r>
      <w:bookmarkEnd w:id="22"/>
      <w:bookmarkEnd w:id="23"/>
    </w:p>
    <w:p w14:paraId="0764C3EB">
      <w:r>
        <w:rPr>
          <w:rFonts w:hint="eastAsia"/>
          <w:b/>
          <w:bCs/>
        </w:rPr>
        <w:t>5.4.1</w:t>
      </w:r>
      <w:r>
        <w:rPr>
          <w:rFonts w:hint="eastAsia"/>
        </w:rPr>
        <w:t xml:space="preserve">  现场安装管理应包括安装计划管理、进场与堆场管理、进度管理、质量与安全管理。</w:t>
      </w:r>
    </w:p>
    <w:p w14:paraId="3FBCD481">
      <w:r>
        <w:rPr>
          <w:rFonts w:hint="eastAsia"/>
          <w:b/>
          <w:bCs/>
        </w:rPr>
        <w:t>5.4.2</w:t>
      </w:r>
      <w:r>
        <w:rPr>
          <w:rFonts w:hint="eastAsia"/>
        </w:rPr>
        <w:t xml:space="preserve">  安装计划管理应根据项目计划的总要求编制，同时建立安装计划与进度信息、质量信息、安全信息等之间的联系。</w:t>
      </w:r>
    </w:p>
    <w:p w14:paraId="4A31334D">
      <w:r>
        <w:rPr>
          <w:rFonts w:hint="eastAsia"/>
          <w:b/>
          <w:bCs/>
        </w:rPr>
        <w:t>5</w:t>
      </w:r>
      <w:bookmarkStart w:id="24" w:name="OLE_LINK9"/>
      <w:r>
        <w:rPr>
          <w:rFonts w:hint="eastAsia"/>
          <w:b/>
          <w:bCs/>
        </w:rPr>
        <w:t>.4.</w:t>
      </w:r>
      <w:bookmarkEnd w:id="24"/>
      <w:r>
        <w:rPr>
          <w:rFonts w:hint="eastAsia"/>
          <w:b/>
          <w:bCs/>
        </w:rPr>
        <w:t>3</w:t>
      </w:r>
      <w:r>
        <w:rPr>
          <w:rFonts w:hint="eastAsia"/>
        </w:rPr>
        <w:t xml:space="preserve">  进场与堆场管理应符合以下规定：</w:t>
      </w:r>
    </w:p>
    <w:p w14:paraId="5C89F407">
      <w:pPr>
        <w:pStyle w:val="52"/>
        <w:ind w:firstLine="422"/>
      </w:pPr>
      <w:r>
        <w:rPr>
          <w:rFonts w:hint="eastAsia"/>
          <w:b/>
          <w:bCs/>
        </w:rPr>
        <w:t>1</w:t>
      </w:r>
      <w:r>
        <w:rPr>
          <w:rFonts w:hint="eastAsia"/>
        </w:rPr>
        <w:t xml:space="preserve">  构件进场时应检查构件的出厂合格证及质量证明文件，记录进场信息和验收情况；</w:t>
      </w:r>
    </w:p>
    <w:p w14:paraId="33638F54">
      <w:pPr>
        <w:pStyle w:val="52"/>
        <w:ind w:firstLine="422"/>
      </w:pPr>
      <w:r>
        <w:rPr>
          <w:rFonts w:hint="eastAsia"/>
          <w:b/>
          <w:bCs/>
        </w:rPr>
        <w:t>2</w:t>
      </w:r>
      <w:r>
        <w:rPr>
          <w:rFonts w:hint="eastAsia"/>
        </w:rPr>
        <w:t xml:space="preserve">  现场堆场应根据项目场地情况进行规划，并对堆场进行实时动态的监控和调整。</w:t>
      </w:r>
    </w:p>
    <w:p w14:paraId="0D7E5ABE">
      <w:r>
        <w:rPr>
          <w:rFonts w:hint="eastAsia"/>
          <w:b/>
          <w:bCs/>
        </w:rPr>
        <w:t>5.4.4</w:t>
      </w:r>
      <w:r>
        <w:rPr>
          <w:rFonts w:hint="eastAsia"/>
        </w:rPr>
        <w:t xml:space="preserve">  进度管理应结合二维码技术或RFID技术，实时收集构件安装进度信息并录入信息管理系统。</w:t>
      </w:r>
    </w:p>
    <w:p w14:paraId="436BDA9A">
      <w:r>
        <w:rPr>
          <w:rFonts w:hint="eastAsia"/>
          <w:b/>
          <w:i/>
          <w:u w:val="single"/>
        </w:rPr>
        <w:t>条文说明：</w:t>
      </w:r>
      <w:r>
        <w:rPr>
          <w:rFonts w:hint="eastAsia"/>
          <w:i/>
          <w:u w:val="single"/>
        </w:rPr>
        <w:t>安装进度管理应采用信息化手段，根据现场的实际情况实时监管任务进度完成情况，实现工作任务合理分配及进度的控制和管理。</w:t>
      </w:r>
    </w:p>
    <w:p w14:paraId="1BAE2CE6">
      <w:r>
        <w:rPr>
          <w:rFonts w:hint="eastAsia"/>
          <w:b/>
          <w:bCs/>
        </w:rPr>
        <w:t>5.4.5</w:t>
      </w:r>
      <w:r>
        <w:rPr>
          <w:rFonts w:hint="eastAsia"/>
        </w:rPr>
        <w:t xml:space="preserve">  质量与安全管理应包括构件现场安装全过程中的管理控制，并应符合以下规定：</w:t>
      </w:r>
    </w:p>
    <w:p w14:paraId="03FD3D10">
      <w:pPr>
        <w:ind w:firstLine="422" w:firstLineChars="200"/>
      </w:pPr>
      <w:r>
        <w:rPr>
          <w:b/>
          <w:bCs/>
        </w:rPr>
        <w:t>1</w:t>
      </w:r>
      <w:r>
        <w:rPr>
          <w:rFonts w:hint="eastAsia"/>
        </w:rPr>
        <w:t xml:space="preserve">  质量管理应及时采集构件安装过程的质量信息并录入信息管理系统；</w:t>
      </w:r>
    </w:p>
    <w:p w14:paraId="251C498F">
      <w:pPr>
        <w:ind w:firstLine="422" w:firstLineChars="200"/>
      </w:pPr>
      <w:r>
        <w:rPr>
          <w:b/>
          <w:bCs/>
        </w:rPr>
        <w:t>2</w:t>
      </w:r>
      <w:r>
        <w:rPr>
          <w:rFonts w:hint="eastAsia"/>
        </w:rPr>
        <w:t xml:space="preserve">  安全管理应对安装过程进行动态管理，建立安全监控、识别及预警机制。</w:t>
      </w:r>
    </w:p>
    <w:p w14:paraId="493EB603">
      <w:pPr>
        <w:rPr>
          <w:i/>
          <w:color w:val="000000"/>
          <w:u w:val="single"/>
        </w:rPr>
      </w:pPr>
      <w:r>
        <w:rPr>
          <w:b/>
          <w:i/>
          <w:color w:val="000000"/>
          <w:u w:val="single"/>
        </w:rPr>
        <w:t>条文说明：</w:t>
      </w:r>
      <w:r>
        <w:rPr>
          <w:rFonts w:hint="eastAsia"/>
          <w:i/>
          <w:color w:val="000000"/>
          <w:u w:val="single"/>
        </w:rPr>
        <w:t>预制构件质量是在进场阶段进行控制，本条主要控制安装质量。安装质量管理应注重安装过程质量控制，对于重要工序（如套筒灌浆工序）需要旁站、视频记录的，应及时进行记录保存，并在信息系统记录。</w:t>
      </w:r>
    </w:p>
    <w:p w14:paraId="05D95A60">
      <w:pPr>
        <w:pStyle w:val="45"/>
      </w:pPr>
    </w:p>
    <w:p w14:paraId="7E6CBAB6">
      <w:pPr>
        <w:pStyle w:val="2"/>
      </w:pPr>
      <w:bookmarkStart w:id="25" w:name="_Toc221108978"/>
      <w:bookmarkStart w:id="26" w:name="_Toc219878997"/>
      <w:r>
        <w:rPr>
          <w:rFonts w:hint="eastAsia"/>
        </w:rPr>
        <w:t>6  信息系统</w:t>
      </w:r>
      <w:bookmarkEnd w:id="25"/>
      <w:bookmarkEnd w:id="26"/>
    </w:p>
    <w:p w14:paraId="2C43CDE8">
      <w:pPr>
        <w:pStyle w:val="3"/>
      </w:pPr>
      <w:bookmarkStart w:id="27" w:name="_Toc221108979"/>
      <w:bookmarkStart w:id="28" w:name="_Toc219878998"/>
      <w:r>
        <w:rPr>
          <w:rFonts w:hint="eastAsia"/>
        </w:rPr>
        <w:t>6.1  一般规定</w:t>
      </w:r>
      <w:bookmarkEnd w:id="27"/>
      <w:bookmarkEnd w:id="28"/>
    </w:p>
    <w:p w14:paraId="403F0570">
      <w:bookmarkStart w:id="29" w:name="OLE_LINK3"/>
      <w:r>
        <w:rPr>
          <w:rFonts w:hint="eastAsia"/>
          <w:b/>
          <w:bCs/>
        </w:rPr>
        <w:t>6.1.</w:t>
      </w:r>
      <w:bookmarkEnd w:id="29"/>
      <w:r>
        <w:rPr>
          <w:rFonts w:hint="eastAsia"/>
          <w:b/>
          <w:bCs/>
        </w:rPr>
        <w:t>1</w:t>
      </w:r>
      <w:r>
        <w:rPr>
          <w:rFonts w:hint="eastAsia"/>
        </w:rPr>
        <w:t xml:space="preserve">  信息管理系统的建设应遵循可靠、安全、开放、实用、先进、可扩展、可维护和可移植的原则。</w:t>
      </w:r>
    </w:p>
    <w:p w14:paraId="4CC07074">
      <w:r>
        <w:rPr>
          <w:b/>
          <w:i/>
          <w:color w:val="000000"/>
          <w:u w:val="single"/>
        </w:rPr>
        <w:t>条文说明：</w:t>
      </w:r>
      <w:r>
        <w:rPr>
          <w:rFonts w:hint="eastAsia"/>
          <w:i/>
          <w:color w:val="000000"/>
          <w:u w:val="single"/>
        </w:rPr>
        <w:t>可靠性是指采用具有高度可靠性的总体设计，采用相对成熟的技术，在关键环节应有冗余备份设计，消除单点失效，同时选用的设备本身也应具有较高的可靠性。安全性是指要从网络安全、数据安全、主机安全、应用系统安全、防病毒、防黑客等方面保证高可用性和可靠性。开放性是指系统设计应符合统一标准、平台和接口，能够与网络及其他相关系统实现可靠连接。先进性是指采用的设备和技术应属于世界当前主流产品和成熟技术，在技术方面应处于领先地位，考虑到系统建成后将在相当长一段时间内使用，在选择技术和设备的时候应有一定的超前意识。可扩展性是指系统应在行业发展过程中，支持业务的发展、变化，支持未来应用的增长。可维护性是指系统应提供针对异常与错误的快速诊断的方法，能较快的分析错误发生的原因，并根据原因提出解决办法。可移植性是指系统软硬件应具有良好的移植能力。</w:t>
      </w:r>
    </w:p>
    <w:p w14:paraId="0DA6F905">
      <w:r>
        <w:rPr>
          <w:rFonts w:hint="eastAsia"/>
          <w:b/>
          <w:bCs/>
        </w:rPr>
        <w:t>6.1.2</w:t>
      </w:r>
      <w:r>
        <w:rPr>
          <w:rFonts w:hint="eastAsia"/>
        </w:rPr>
        <w:t xml:space="preserve">  信息管理系统的建设应符合现行国家标准《系统与软件工程系统与软件质量要求、和评价（SQuaRE）第51部分：就绪可用软件产品（RUSP）的质量要求和测试细则》GB/T 25000.51等的有关规定。</w:t>
      </w:r>
    </w:p>
    <w:p w14:paraId="59ABF75A">
      <w:r>
        <w:rPr>
          <w:rFonts w:hint="eastAsia"/>
          <w:b/>
          <w:bCs/>
        </w:rPr>
        <w:t>6.1.3</w:t>
      </w:r>
      <w:r>
        <w:rPr>
          <w:rFonts w:hint="eastAsia"/>
        </w:rPr>
        <w:t xml:space="preserve">  操作系统的选择应符合下列规定：</w:t>
      </w:r>
    </w:p>
    <w:p w14:paraId="353D1CED">
      <w:pPr>
        <w:pStyle w:val="52"/>
        <w:ind w:firstLine="422"/>
      </w:pPr>
      <w:r>
        <w:rPr>
          <w:rFonts w:hint="eastAsia"/>
          <w:b/>
          <w:bCs/>
        </w:rPr>
        <w:t>1</w:t>
      </w:r>
      <w:r>
        <w:rPr>
          <w:rFonts w:hint="eastAsia"/>
        </w:rPr>
        <w:t xml:space="preserve">  电脑端可选用国产系统、MSWindows或Linux等；</w:t>
      </w:r>
    </w:p>
    <w:p w14:paraId="048B72CA">
      <w:pPr>
        <w:pStyle w:val="52"/>
        <w:ind w:firstLine="422"/>
      </w:pPr>
      <w:r>
        <w:rPr>
          <w:rFonts w:hint="eastAsia"/>
          <w:b/>
          <w:bCs/>
        </w:rPr>
        <w:t>2</w:t>
      </w:r>
      <w:r>
        <w:rPr>
          <w:rFonts w:hint="eastAsia"/>
        </w:rPr>
        <w:t xml:space="preserve">  移动端可选用国产系统、Android或IOS等。</w:t>
      </w:r>
    </w:p>
    <w:p w14:paraId="74BF55D1">
      <w:r>
        <w:rPr>
          <w:rFonts w:hint="eastAsia"/>
          <w:b/>
          <w:bCs/>
        </w:rPr>
        <w:t>6.1.4</w:t>
      </w:r>
      <w:r>
        <w:rPr>
          <w:rFonts w:hint="eastAsia"/>
        </w:rPr>
        <w:t xml:space="preserve">  信息管理系统安全等级应符合现行国家标准《信息安全技术 网络安全等级保护基本要求》/T 22239的三等保级要求，并宜建立系统容灾体系。</w:t>
      </w:r>
    </w:p>
    <w:p w14:paraId="6B4C3A18">
      <w:pPr>
        <w:pStyle w:val="3"/>
      </w:pPr>
      <w:bookmarkStart w:id="30" w:name="_Toc221108980"/>
      <w:bookmarkStart w:id="31" w:name="_Toc219878999"/>
      <w:r>
        <w:rPr>
          <w:rFonts w:hint="eastAsia"/>
        </w:rPr>
        <w:t>6.2  接口标准</w:t>
      </w:r>
      <w:bookmarkEnd w:id="30"/>
      <w:bookmarkEnd w:id="31"/>
    </w:p>
    <w:p w14:paraId="665D9EA1">
      <w:r>
        <w:rPr>
          <w:rFonts w:hint="eastAsia"/>
          <w:b/>
          <w:bCs/>
        </w:rPr>
        <w:t xml:space="preserve">6.2.1 </w:t>
      </w:r>
      <w:r>
        <w:rPr>
          <w:rFonts w:hint="eastAsia"/>
        </w:rPr>
        <w:t xml:space="preserve"> 信息化管理系统接口标准除应符合现行行业标准《应用软件接口标准编写技术要素》GA/T1293-2016外，尚应符合下列规定：</w:t>
      </w:r>
    </w:p>
    <w:p w14:paraId="309B86B1">
      <w:pPr>
        <w:pStyle w:val="52"/>
        <w:ind w:firstLine="422"/>
      </w:pPr>
      <w:r>
        <w:rPr>
          <w:rFonts w:hint="eastAsia"/>
          <w:b/>
          <w:bCs/>
        </w:rPr>
        <w:t>1</w:t>
      </w:r>
      <w:r>
        <w:rPr>
          <w:rFonts w:hint="eastAsia"/>
        </w:rPr>
        <w:t xml:space="preserve">  各子系统间应有对应的应用程序编程（API）接口标准和数据接口标准；</w:t>
      </w:r>
    </w:p>
    <w:p w14:paraId="598B05F9">
      <w:pPr>
        <w:pStyle w:val="52"/>
        <w:ind w:firstLine="422"/>
      </w:pPr>
      <w:r>
        <w:rPr>
          <w:rFonts w:hint="eastAsia"/>
          <w:b/>
          <w:bCs/>
        </w:rPr>
        <w:t>2</w:t>
      </w:r>
      <w:r>
        <w:rPr>
          <w:rFonts w:hint="eastAsia"/>
        </w:rPr>
        <w:t xml:space="preserve">  子系统间的数据接口标准宜与数据平台的数据架构一致，具备互相转换的功能。</w:t>
      </w:r>
    </w:p>
    <w:p w14:paraId="4570FAD9">
      <w:r>
        <w:rPr>
          <w:rFonts w:hint="eastAsia"/>
          <w:b/>
          <w:bCs/>
        </w:rPr>
        <w:t>6.2..2</w:t>
      </w:r>
      <w:r>
        <w:rPr>
          <w:rFonts w:hint="eastAsia"/>
        </w:rPr>
        <w:t xml:space="preserve">  软件系统架构宜选用浏览器/服务器（B/S）架构，并应符合应用环境要求，实现跨平台应用。</w:t>
      </w:r>
    </w:p>
    <w:p w14:paraId="1A54250F">
      <w:r>
        <w:rPr>
          <w:rFonts w:hint="eastAsia"/>
          <w:b/>
          <w:bCs/>
        </w:rPr>
        <w:t>6.2..3</w:t>
      </w:r>
      <w:r>
        <w:rPr>
          <w:rFonts w:hint="eastAsia"/>
        </w:rPr>
        <w:t xml:space="preserve">  基于互联网应用架构的子系统APL接口可采用RESTful，Windows应用子系统的API接口可采用COM组件或动态库。</w:t>
      </w:r>
    </w:p>
    <w:p w14:paraId="291E7C34">
      <w:pPr>
        <w:pStyle w:val="3"/>
      </w:pPr>
      <w:bookmarkStart w:id="32" w:name="_Toc219879000"/>
      <w:bookmarkStart w:id="33" w:name="_Toc221108981"/>
      <w:r>
        <w:rPr>
          <w:rFonts w:hint="eastAsia"/>
        </w:rPr>
        <w:t>6.</w:t>
      </w:r>
      <w:r>
        <w:rPr>
          <w:rFonts w:hint="eastAsia"/>
          <w:lang w:val="en-US" w:eastAsia="zh-CN"/>
        </w:rPr>
        <w:t>3</w:t>
      </w:r>
      <w:r>
        <w:rPr>
          <w:rFonts w:hint="eastAsia"/>
        </w:rPr>
        <w:t xml:space="preserve">  信息安全</w:t>
      </w:r>
      <w:bookmarkEnd w:id="32"/>
      <w:bookmarkEnd w:id="33"/>
    </w:p>
    <w:p w14:paraId="118FA2DF">
      <w:r>
        <w:rPr>
          <w:rFonts w:hint="eastAsia"/>
          <w:b/>
          <w:bCs/>
          <w:lang w:val="en-US" w:eastAsia="zh-CN"/>
        </w:rPr>
        <w:t>6</w:t>
      </w:r>
      <w:r>
        <w:rPr>
          <w:rFonts w:hint="eastAsia"/>
          <w:b/>
          <w:bCs/>
        </w:rPr>
        <w:t>.</w:t>
      </w:r>
      <w:r>
        <w:rPr>
          <w:rFonts w:hint="eastAsia"/>
          <w:b/>
          <w:bCs/>
          <w:lang w:val="en-US" w:eastAsia="zh-CN"/>
        </w:rPr>
        <w:t>3</w:t>
      </w:r>
      <w:r>
        <w:rPr>
          <w:rFonts w:hint="eastAsia"/>
          <w:b/>
          <w:bCs/>
        </w:rPr>
        <w:t xml:space="preserve">.1 </w:t>
      </w:r>
      <w:r>
        <w:rPr>
          <w:rFonts w:hint="eastAsia"/>
        </w:rPr>
        <w:t xml:space="preserve"> 应建立信息安全管理制度，确保信息安全管理活动持续、有效运行。</w:t>
      </w:r>
    </w:p>
    <w:p w14:paraId="4E67FF88">
      <w:r>
        <w:rPr>
          <w:rFonts w:hint="eastAsia"/>
          <w:b/>
          <w:bCs/>
          <w:lang w:val="en-US" w:eastAsia="zh-CN"/>
        </w:rPr>
        <w:t>6</w:t>
      </w:r>
      <w:r>
        <w:rPr>
          <w:rFonts w:hint="eastAsia"/>
          <w:b/>
          <w:bCs/>
        </w:rPr>
        <w:t>.</w:t>
      </w:r>
      <w:r>
        <w:rPr>
          <w:rFonts w:hint="eastAsia"/>
          <w:b/>
          <w:bCs/>
          <w:lang w:val="en-US" w:eastAsia="zh-CN"/>
        </w:rPr>
        <w:t>3</w:t>
      </w:r>
      <w:r>
        <w:rPr>
          <w:rFonts w:hint="eastAsia"/>
          <w:b/>
          <w:bCs/>
        </w:rPr>
        <w:t>.2</w:t>
      </w:r>
      <w:r>
        <w:rPr>
          <w:rFonts w:hint="eastAsia"/>
        </w:rPr>
        <w:t xml:space="preserve">  系统应采用统一的身份鉴别机制，并基于角色或权限进行访问控制，遵循最小权限原则。</w:t>
      </w:r>
    </w:p>
    <w:p w14:paraId="06C2D8EE">
      <w:pPr>
        <w:pStyle w:val="57"/>
      </w:pPr>
      <w:r>
        <w:rPr>
          <w:b/>
        </w:rPr>
        <w:t>条文说明：</w:t>
      </w:r>
      <w:r>
        <w:rPr>
          <w:rFonts w:hint="eastAsia"/>
        </w:rPr>
        <w:t>所有身份鉴别过程中应在可信任环境中执行，且每次用户登录时进行身份识别。遵循最小权限原则就是一个账号对应一个人而不是一个组，使用软件的每个人拥有唯一的用户名。</w:t>
      </w:r>
    </w:p>
    <w:p w14:paraId="7C08D1BD">
      <w:bookmarkStart w:id="34" w:name="OLE_LINK4"/>
      <w:r>
        <w:rPr>
          <w:rFonts w:hint="eastAsia"/>
          <w:b/>
          <w:bCs/>
        </w:rPr>
        <w:t>6.</w:t>
      </w:r>
      <w:r>
        <w:rPr>
          <w:rFonts w:hint="eastAsia"/>
          <w:b/>
          <w:bCs/>
          <w:lang w:val="en-US" w:eastAsia="zh-CN"/>
        </w:rPr>
        <w:t>3</w:t>
      </w:r>
      <w:r>
        <w:rPr>
          <w:rFonts w:hint="eastAsia"/>
          <w:b/>
          <w:bCs/>
        </w:rPr>
        <w:t>.3</w:t>
      </w:r>
      <w:bookmarkEnd w:id="34"/>
      <w:r>
        <w:rPr>
          <w:rFonts w:hint="eastAsia"/>
        </w:rPr>
        <w:t xml:space="preserve">  系统宜对数据进行分类、分级管理，对重要数据和敏感数据采取安全措施，防止数据泄露、篡改和非法使用。</w:t>
      </w:r>
    </w:p>
    <w:p w14:paraId="79633119">
      <w:r>
        <w:rPr>
          <w:b/>
          <w:i/>
          <w:color w:val="000000"/>
          <w:u w:val="single"/>
        </w:rPr>
        <w:t>条文说明：</w:t>
      </w:r>
      <w:r>
        <w:rPr>
          <w:rFonts w:hint="eastAsia"/>
          <w:i/>
          <w:color w:val="000000"/>
          <w:u w:val="single"/>
        </w:rPr>
        <w:t>对于重要数据和敏感数据在存储、传输和使用过程中应采取加密、脱敏或访问控制等安全措施，确保数据安全。</w:t>
      </w:r>
    </w:p>
    <w:p w14:paraId="6D5F8C95">
      <w:r>
        <w:rPr>
          <w:rFonts w:hint="eastAsia"/>
          <w:b/>
          <w:bCs/>
        </w:rPr>
        <w:t>6.</w:t>
      </w:r>
      <w:r>
        <w:rPr>
          <w:rFonts w:hint="eastAsia"/>
          <w:b/>
          <w:bCs/>
          <w:lang w:val="en-US" w:eastAsia="zh-CN"/>
        </w:rPr>
        <w:t>3</w:t>
      </w:r>
      <w:r>
        <w:rPr>
          <w:rFonts w:hint="eastAsia"/>
          <w:b/>
          <w:bCs/>
        </w:rPr>
        <w:t>.4</w:t>
      </w:r>
      <w:r>
        <w:rPr>
          <w:rFonts w:hint="eastAsia"/>
        </w:rPr>
        <w:t xml:space="preserve">  系统应具备安全日志功能，对用户访问、系统操作和安全事件进行记录。</w:t>
      </w:r>
    </w:p>
    <w:p w14:paraId="05A11DC1">
      <w:r>
        <w:rPr>
          <w:b/>
          <w:i/>
          <w:color w:val="000000"/>
          <w:u w:val="single"/>
        </w:rPr>
        <w:t>条文说明：</w:t>
      </w:r>
      <w:r>
        <w:rPr>
          <w:rFonts w:hint="eastAsia"/>
          <w:i/>
          <w:color w:val="000000"/>
          <w:u w:val="single"/>
        </w:rPr>
        <w:t>日志数据应集中存放并防止篡改，同时需要按照相关规定留存一定的期限。</w:t>
      </w:r>
    </w:p>
    <w:p w14:paraId="10FF1EB4">
      <w:r>
        <w:rPr>
          <w:rFonts w:hint="eastAsia"/>
          <w:b/>
          <w:bCs/>
        </w:rPr>
        <w:t>6.</w:t>
      </w:r>
      <w:r>
        <w:rPr>
          <w:rFonts w:hint="eastAsia"/>
          <w:b/>
          <w:bCs/>
          <w:lang w:val="en-US" w:eastAsia="zh-CN"/>
        </w:rPr>
        <w:t>3</w:t>
      </w:r>
      <w:r>
        <w:rPr>
          <w:rFonts w:hint="eastAsia"/>
          <w:b/>
          <w:bCs/>
        </w:rPr>
        <w:t>.5</w:t>
      </w:r>
      <w:r>
        <w:rPr>
          <w:rFonts w:hint="eastAsia"/>
        </w:rPr>
        <w:t xml:space="preserve">  系统应建立数据备份和恢复机制，并制定信息安全事件应急预案。</w:t>
      </w:r>
    </w:p>
    <w:p w14:paraId="26498B9A">
      <w:pPr>
        <w:sectPr>
          <w:footerReference r:id="rId11" w:type="default"/>
          <w:pgSz w:w="11906" w:h="16838"/>
          <w:pgMar w:top="1440" w:right="1800" w:bottom="1440" w:left="1800" w:header="851" w:footer="992" w:gutter="0"/>
          <w:pgNumType w:start="1"/>
          <w:cols w:space="425" w:num="1"/>
          <w:docGrid w:type="lines" w:linePitch="312" w:charSpace="0"/>
        </w:sectPr>
      </w:pPr>
    </w:p>
    <w:p w14:paraId="6E7D4CDD">
      <w:pPr>
        <w:pStyle w:val="2"/>
      </w:pPr>
      <w:bookmarkStart w:id="35" w:name="_Toc221108982"/>
      <w:bookmarkStart w:id="36" w:name="_Toc219879001"/>
      <w:r>
        <w:rPr>
          <w:rFonts w:hint="eastAsia"/>
        </w:rPr>
        <w:t>附录A  RFID芯片植入位置</w:t>
      </w:r>
      <w:bookmarkEnd w:id="35"/>
      <w:bookmarkEnd w:id="36"/>
    </w:p>
    <w:p w14:paraId="57FAA3C8">
      <w:r>
        <w:rPr>
          <w:rFonts w:hint="eastAsia"/>
          <w:b/>
          <w:bCs/>
        </w:rPr>
        <w:t>A.0.1</w:t>
      </w:r>
      <w:r>
        <w:rPr>
          <w:rFonts w:hint="eastAsia"/>
        </w:rPr>
        <w:t xml:space="preserve">  可在构件的指定部位设置预留槽，用于芯片的安置和使用。埋置RFID无线射频芯片时，芯片埋置深度宜为80毫米，且埋置深度应与现有设备和技术相适应。</w:t>
      </w:r>
    </w:p>
    <w:p w14:paraId="456A2645">
      <w:r>
        <w:rPr>
          <w:rFonts w:hint="eastAsia"/>
          <w:b/>
          <w:bCs/>
        </w:rPr>
        <w:t>A.0.2</w:t>
      </w:r>
      <w:r>
        <w:rPr>
          <w:rFonts w:hint="eastAsia"/>
        </w:rPr>
        <w:t xml:space="preserve">  预制外墙板的RFID芯片植入部位，植入面面向建筑物内侧，人面向墙板，高度距底边1500mm，纵向离右边沿500mm处(图A.0.2)。</w:t>
      </w:r>
    </w:p>
    <w:p w14:paraId="144AED27">
      <w:pPr>
        <w:pStyle w:val="45"/>
      </w:pPr>
      <w:r>
        <w:drawing>
          <wp:inline distT="0" distB="0" distL="0" distR="0">
            <wp:extent cx="3225165" cy="2519680"/>
            <wp:effectExtent l="0" t="0" r="0" b="0"/>
            <wp:docPr id="1065050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50031" name="图片 1"/>
                    <pic:cNvPicPr>
                      <a:picLocks noChangeAspect="1"/>
                    </pic:cNvPicPr>
                  </pic:nvPicPr>
                  <pic:blipFill>
                    <a:blip r:embed="rId15"/>
                    <a:stretch>
                      <a:fillRect/>
                    </a:stretch>
                  </pic:blipFill>
                  <pic:spPr>
                    <a:xfrm>
                      <a:off x="0" y="0"/>
                      <a:ext cx="3225631" cy="2520000"/>
                    </a:xfrm>
                    <a:prstGeom prst="rect">
                      <a:avLst/>
                    </a:prstGeom>
                  </pic:spPr>
                </pic:pic>
              </a:graphicData>
            </a:graphic>
          </wp:inline>
        </w:drawing>
      </w:r>
    </w:p>
    <w:p w14:paraId="19789A9B">
      <w:pPr>
        <w:pStyle w:val="45"/>
      </w:pPr>
      <w:bookmarkStart w:id="37" w:name="OLE_LINK1"/>
      <w:r>
        <w:rPr>
          <w:rFonts w:hint="eastAsia"/>
        </w:rPr>
        <w:t>图A.0.2 预制外墙板信息芯片安装位置</w:t>
      </w:r>
      <w:bookmarkEnd w:id="37"/>
    </w:p>
    <w:p w14:paraId="42CFF0F1">
      <w:r>
        <w:rPr>
          <w:rFonts w:hint="eastAsia"/>
        </w:rPr>
        <w:t>A.0.3  预制内墙板的RFID芯片植入部位，植入面为内墙板生产时的下表面(内墙板紧贴模台的一面为下表面，外露的一面为上表面)，高度距底边1500mm，纵向离右边沿500mm处(图A.0.3)。</w:t>
      </w:r>
    </w:p>
    <w:p w14:paraId="3E5B3614">
      <w:pPr>
        <w:pStyle w:val="45"/>
      </w:pPr>
      <w:r>
        <w:drawing>
          <wp:inline distT="0" distB="0" distL="0" distR="0">
            <wp:extent cx="3624580" cy="2159635"/>
            <wp:effectExtent l="0" t="0" r="0" b="0"/>
            <wp:docPr id="537254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54061" name="图片 1"/>
                    <pic:cNvPicPr>
                      <a:picLocks noChangeAspect="1"/>
                    </pic:cNvPicPr>
                  </pic:nvPicPr>
                  <pic:blipFill>
                    <a:blip r:embed="rId16"/>
                    <a:stretch>
                      <a:fillRect/>
                    </a:stretch>
                  </pic:blipFill>
                  <pic:spPr>
                    <a:xfrm>
                      <a:off x="0" y="0"/>
                      <a:ext cx="3625168" cy="2160000"/>
                    </a:xfrm>
                    <a:prstGeom prst="rect">
                      <a:avLst/>
                    </a:prstGeom>
                  </pic:spPr>
                </pic:pic>
              </a:graphicData>
            </a:graphic>
          </wp:inline>
        </w:drawing>
      </w:r>
    </w:p>
    <w:p w14:paraId="4C365FA7">
      <w:pPr>
        <w:pStyle w:val="45"/>
      </w:pPr>
      <w:bookmarkStart w:id="38" w:name="OLE_LINK2"/>
      <w:r>
        <w:rPr>
          <w:rFonts w:hint="eastAsia"/>
        </w:rPr>
        <w:t>图A.0.3 预制内墙板信息芯片安装位置</w:t>
      </w:r>
      <w:bookmarkEnd w:id="38"/>
    </w:p>
    <w:p w14:paraId="5D0060F5">
      <w:r>
        <w:rPr>
          <w:rFonts w:hint="eastAsia"/>
        </w:rPr>
        <w:t>A.0.4预制梁的RFID芯片植入部位，植入面位于梁侧面，面向轴线序数小的方向，例:B轴线的梁植入面面向A轴线，2轴线的梁植入面面向1轴线，依次类推。埋设位置位于梁底面以上100mm梁高处，纵向距右边沿500nm处(图A.0.4)。</w:t>
      </w:r>
    </w:p>
    <w:p w14:paraId="7294884B">
      <w:pPr>
        <w:pStyle w:val="45"/>
      </w:pPr>
      <w:r>
        <w:drawing>
          <wp:inline distT="0" distB="0" distL="0" distR="0">
            <wp:extent cx="3649980" cy="2159635"/>
            <wp:effectExtent l="0" t="0" r="7620" b="0"/>
            <wp:docPr id="3018886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88623" name="图片 1"/>
                    <pic:cNvPicPr>
                      <a:picLocks noChangeAspect="1"/>
                    </pic:cNvPicPr>
                  </pic:nvPicPr>
                  <pic:blipFill>
                    <a:blip r:embed="rId17"/>
                    <a:stretch>
                      <a:fillRect/>
                    </a:stretch>
                  </pic:blipFill>
                  <pic:spPr>
                    <a:xfrm>
                      <a:off x="0" y="0"/>
                      <a:ext cx="3650246" cy="2160000"/>
                    </a:xfrm>
                    <a:prstGeom prst="rect">
                      <a:avLst/>
                    </a:prstGeom>
                  </pic:spPr>
                </pic:pic>
              </a:graphicData>
            </a:graphic>
          </wp:inline>
        </w:drawing>
      </w:r>
    </w:p>
    <w:p w14:paraId="473D97A9">
      <w:pPr>
        <w:pStyle w:val="45"/>
      </w:pPr>
      <w:bookmarkStart w:id="39" w:name="OLE_LINK5"/>
      <w:r>
        <w:rPr>
          <w:rFonts w:hint="eastAsia"/>
        </w:rPr>
        <w:t>图A.0.4 预制梁信息芯片安装位置</w:t>
      </w:r>
    </w:p>
    <w:bookmarkEnd w:id="39"/>
    <w:p w14:paraId="20F01653">
      <w:r>
        <w:rPr>
          <w:rFonts w:hint="eastAsia"/>
        </w:rPr>
        <w:t>A.0.5 预制楼板RFID芯片的植入部位，植入面位于预制楼板底层，横、纵方向距离轴线数小的梁或墙各500mm(图A.0.5)。</w:t>
      </w:r>
    </w:p>
    <w:p w14:paraId="35951F28">
      <w:pPr>
        <w:pStyle w:val="45"/>
      </w:pPr>
      <w:r>
        <w:drawing>
          <wp:inline distT="0" distB="0" distL="0" distR="0">
            <wp:extent cx="2787015" cy="2159635"/>
            <wp:effectExtent l="0" t="0" r="0" b="0"/>
            <wp:docPr id="2140454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54873" name="图片 1"/>
                    <pic:cNvPicPr>
                      <a:picLocks noChangeAspect="1"/>
                    </pic:cNvPicPr>
                  </pic:nvPicPr>
                  <pic:blipFill>
                    <a:blip r:embed="rId18"/>
                    <a:stretch>
                      <a:fillRect/>
                    </a:stretch>
                  </pic:blipFill>
                  <pic:spPr>
                    <a:xfrm>
                      <a:off x="0" y="0"/>
                      <a:ext cx="2787595" cy="2160000"/>
                    </a:xfrm>
                    <a:prstGeom prst="rect">
                      <a:avLst/>
                    </a:prstGeom>
                  </pic:spPr>
                </pic:pic>
              </a:graphicData>
            </a:graphic>
          </wp:inline>
        </w:drawing>
      </w:r>
    </w:p>
    <w:p w14:paraId="34D9136E">
      <w:pPr>
        <w:pStyle w:val="45"/>
      </w:pPr>
      <w:bookmarkStart w:id="40" w:name="OLE_LINK6"/>
      <w:r>
        <w:rPr>
          <w:rFonts w:hint="eastAsia"/>
        </w:rPr>
        <w:t>图A.0.5 装配式楼  板信息芯片安装位置</w:t>
      </w:r>
    </w:p>
    <w:bookmarkEnd w:id="40"/>
    <w:p w14:paraId="06CB2AE5">
      <w:r>
        <w:rPr>
          <w:rFonts w:hint="eastAsia"/>
        </w:rPr>
        <w:t>A.0.6 预制楼梯的RFID芯片植入部位，位于自下至上第三个踏步踢面竖向居中处，人面向楼梯踏步站立，距右侧边沿100mm处(图A.0.6)。</w:t>
      </w:r>
    </w:p>
    <w:p w14:paraId="3B39550E">
      <w:pPr>
        <w:pStyle w:val="45"/>
      </w:pPr>
      <w:r>
        <w:drawing>
          <wp:inline distT="0" distB="0" distL="0" distR="0">
            <wp:extent cx="2854325" cy="2519680"/>
            <wp:effectExtent l="0" t="4127" r="0" b="0"/>
            <wp:docPr id="442529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2943" name="图片 1"/>
                    <pic:cNvPicPr>
                      <a:picLocks noChangeAspect="1"/>
                    </pic:cNvPicPr>
                  </pic:nvPicPr>
                  <pic:blipFill>
                    <a:blip r:embed="rId19"/>
                    <a:stretch>
                      <a:fillRect/>
                    </a:stretch>
                  </pic:blipFill>
                  <pic:spPr>
                    <a:xfrm rot="16200000">
                      <a:off x="0" y="0"/>
                      <a:ext cx="2854374" cy="2520000"/>
                    </a:xfrm>
                    <a:prstGeom prst="rect">
                      <a:avLst/>
                    </a:prstGeom>
                  </pic:spPr>
                </pic:pic>
              </a:graphicData>
            </a:graphic>
          </wp:inline>
        </w:drawing>
      </w:r>
    </w:p>
    <w:p w14:paraId="2180C6F7">
      <w:pPr>
        <w:pStyle w:val="45"/>
      </w:pPr>
      <w:r>
        <w:rPr>
          <w:rFonts w:hint="eastAsia"/>
        </w:rPr>
        <w:t>图A.0.6 预制楼梯信息芯片安装位置</w:t>
      </w:r>
    </w:p>
    <w:p w14:paraId="645DB324">
      <w:r>
        <w:rPr>
          <w:rFonts w:hint="eastAsia"/>
        </w:rPr>
        <w:t>A.0.7 预制柱的RFID芯片的植入部位，植入面面向轴线序数小的方向，例:B轴线的柱植入面面向A轴线，2轴线的柱植入面面向1轴线，依次类推。高度距地面1500mm，纵向距右边沿100mm处(图A.0.7)。</w:t>
      </w:r>
    </w:p>
    <w:p w14:paraId="79AE5BDE">
      <w:pPr>
        <w:pStyle w:val="45"/>
      </w:pPr>
      <w:r>
        <w:drawing>
          <wp:inline distT="0" distB="0" distL="0" distR="0">
            <wp:extent cx="2519680" cy="2519680"/>
            <wp:effectExtent l="0" t="0" r="0" b="0"/>
            <wp:docPr id="492997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97479" name="图片 1"/>
                    <pic:cNvPicPr>
                      <a:picLocks noChangeAspect="1"/>
                    </pic:cNvPicPr>
                  </pic:nvPicPr>
                  <pic:blipFill>
                    <a:blip r:embed="rId20"/>
                    <a:stretch>
                      <a:fillRect/>
                    </a:stretch>
                  </pic:blipFill>
                  <pic:spPr>
                    <a:xfrm>
                      <a:off x="0" y="0"/>
                      <a:ext cx="2520000" cy="2520000"/>
                    </a:xfrm>
                    <a:prstGeom prst="rect">
                      <a:avLst/>
                    </a:prstGeom>
                  </pic:spPr>
                </pic:pic>
              </a:graphicData>
            </a:graphic>
          </wp:inline>
        </w:drawing>
      </w:r>
    </w:p>
    <w:p w14:paraId="31075427">
      <w:pPr>
        <w:pStyle w:val="45"/>
      </w:pPr>
      <w:r>
        <w:rPr>
          <w:rFonts w:hint="eastAsia"/>
        </w:rPr>
        <w:t>图A.0.7 预制柱信息芯片安装位置</w:t>
      </w:r>
    </w:p>
    <w:p w14:paraId="0134236E">
      <w:r>
        <w:rPr>
          <w:rFonts w:hint="eastAsia"/>
        </w:rPr>
        <w:t>A.0.8预制阳台RFID芯片的植入部位，人员在房间内面向阳台站立，植入点为距阳台板外边沿500mm，纵向距阳台板右侧外边沿500mm处(图A.0.8)。</w:t>
      </w:r>
    </w:p>
    <w:p w14:paraId="483FDC79">
      <w:pPr>
        <w:pStyle w:val="45"/>
      </w:pPr>
      <w:r>
        <w:drawing>
          <wp:inline distT="0" distB="0" distL="0" distR="0">
            <wp:extent cx="3690620" cy="2159635"/>
            <wp:effectExtent l="0" t="0" r="5080" b="0"/>
            <wp:docPr id="626419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19302" name="图片 1"/>
                    <pic:cNvPicPr>
                      <a:picLocks noChangeAspect="1"/>
                    </pic:cNvPicPr>
                  </pic:nvPicPr>
                  <pic:blipFill>
                    <a:blip r:embed="rId21"/>
                    <a:stretch>
                      <a:fillRect/>
                    </a:stretch>
                  </pic:blipFill>
                  <pic:spPr>
                    <a:xfrm>
                      <a:off x="0" y="0"/>
                      <a:ext cx="3690796" cy="2160000"/>
                    </a:xfrm>
                    <a:prstGeom prst="rect">
                      <a:avLst/>
                    </a:prstGeom>
                  </pic:spPr>
                </pic:pic>
              </a:graphicData>
            </a:graphic>
          </wp:inline>
        </w:drawing>
      </w:r>
    </w:p>
    <w:p w14:paraId="54F9D98F">
      <w:pPr>
        <w:pStyle w:val="45"/>
      </w:pPr>
      <w:r>
        <w:rPr>
          <w:rFonts w:hint="eastAsia"/>
        </w:rPr>
        <w:t>图A.0.8 预制柱信息芯片安装位置</w:t>
      </w:r>
    </w:p>
    <w:p w14:paraId="101C32D2">
      <w:r>
        <w:rPr>
          <w:rFonts w:hint="eastAsia"/>
        </w:rPr>
        <w:t>注:1、轴线序数大小:按照2轴大于1轴、3轴大于2轴、B轴大于A轴、C轴大于B轴的原则进行轴线序数大小的比较。</w:t>
      </w:r>
    </w:p>
    <w:p w14:paraId="24D65D09">
      <w:r>
        <w:rPr>
          <w:rFonts w:hint="eastAsia"/>
        </w:rPr>
        <w:t>2、RFID芯片埋置时，数字优先级大于字母优先级。如预制柱相邻的两个面均满足上述要求，则优先埋设在面向数字轴线的柱面上。</w:t>
      </w:r>
    </w:p>
    <w:p w14:paraId="4EBBE554">
      <w:r>
        <w:rPr>
          <w:rFonts w:hint="eastAsia"/>
        </w:rPr>
        <w:t>3、根据上述规则进行RFID芯片埋设时，如遇到预留洞口、墙体交接等便埋设的情况时，分别按照100mm、200mm、300mm等100mm递增的原则向数字、字母轴线序数小的方向调整，调整至具备埋设条件的部位。4、异形的部品部件信息芯片安装位置，宜根据实际生产、安装、施工情况进行合理布置。</w:t>
      </w:r>
    </w:p>
    <w:p w14:paraId="1959B729">
      <w:r>
        <w:rPr>
          <w:rFonts w:hint="eastAsia"/>
        </w:rPr>
        <w:t>5、其他类别部品部件宜设置在醒目处。对小型部品部件，可以打包方式使用二维码，并将二维码粘贴在醒目处。</w:t>
      </w:r>
    </w:p>
    <w:p w14:paraId="21D46C19">
      <w:pPr>
        <w:sectPr>
          <w:pgSz w:w="11906" w:h="16838"/>
          <w:pgMar w:top="1440" w:right="1800" w:bottom="1440" w:left="1800" w:header="851" w:footer="992" w:gutter="0"/>
          <w:cols w:space="425" w:num="1"/>
          <w:docGrid w:type="lines" w:linePitch="312" w:charSpace="0"/>
        </w:sectPr>
      </w:pPr>
    </w:p>
    <w:p w14:paraId="6D43CA81"/>
    <w:p w14:paraId="5CBCA562">
      <w:pPr>
        <w:pStyle w:val="2"/>
      </w:pPr>
      <w:bookmarkStart w:id="41" w:name="_Toc221108983"/>
      <w:bookmarkStart w:id="42" w:name="_Toc219879002"/>
      <w:r>
        <w:rPr>
          <w:rFonts w:hint="eastAsia"/>
        </w:rPr>
        <w:t>附录B  构件类型代码</w:t>
      </w:r>
      <w:bookmarkEnd w:id="41"/>
      <w:bookmarkEnd w:id="42"/>
    </w:p>
    <w:p w14:paraId="4C217771">
      <w:r>
        <w:rPr>
          <w:rFonts w:hint="eastAsia"/>
        </w:rPr>
        <w:t xml:space="preserve">B.0.1  </w:t>
      </w:r>
      <w:bookmarkStart w:id="43" w:name="OLE_LINK8"/>
      <w:r>
        <w:rPr>
          <w:rFonts w:hint="eastAsia"/>
        </w:rPr>
        <w:t>预制混凝土构件的构件类型代码</w:t>
      </w:r>
      <w:bookmarkEnd w:id="43"/>
      <w:r>
        <w:rPr>
          <w:rFonts w:hint="eastAsia"/>
        </w:rPr>
        <w:t>应符合表B.0.1的规定。</w:t>
      </w:r>
    </w:p>
    <w:p w14:paraId="3AF017E5">
      <w:pPr>
        <w:pStyle w:val="45"/>
      </w:pPr>
      <w:r>
        <w:rPr>
          <w:rFonts w:hint="eastAsia"/>
        </w:rPr>
        <w:t>表B.0.1 预制混凝土构件的构件类型代码</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556B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8" w:type="dxa"/>
            <w:vAlign w:val="center"/>
          </w:tcPr>
          <w:p w14:paraId="27D190F9">
            <w:pPr>
              <w:pStyle w:val="45"/>
            </w:pPr>
            <w:r>
              <w:rPr>
                <w:rFonts w:hint="eastAsia"/>
              </w:rPr>
              <w:t>构件名称</w:t>
            </w:r>
          </w:p>
        </w:tc>
        <w:tc>
          <w:tcPr>
            <w:tcW w:w="4148" w:type="dxa"/>
            <w:vAlign w:val="center"/>
          </w:tcPr>
          <w:p w14:paraId="2DB35FB3">
            <w:pPr>
              <w:pStyle w:val="45"/>
            </w:pPr>
            <w:r>
              <w:rPr>
                <w:rFonts w:hint="eastAsia"/>
              </w:rPr>
              <w:t>构件类型代码</w:t>
            </w:r>
          </w:p>
        </w:tc>
      </w:tr>
      <w:tr w14:paraId="0485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8" w:type="dxa"/>
            <w:vAlign w:val="center"/>
          </w:tcPr>
          <w:p w14:paraId="0818D75D">
            <w:pPr>
              <w:pStyle w:val="45"/>
            </w:pPr>
            <w:r>
              <w:rPr>
                <w:rFonts w:hint="eastAsia"/>
              </w:rPr>
              <w:t>板</w:t>
            </w:r>
          </w:p>
        </w:tc>
        <w:tc>
          <w:tcPr>
            <w:tcW w:w="4148" w:type="dxa"/>
            <w:vAlign w:val="center"/>
          </w:tcPr>
          <w:p w14:paraId="3C0AC71A">
            <w:pPr>
              <w:pStyle w:val="45"/>
            </w:pPr>
            <w:r>
              <w:rPr>
                <w:rFonts w:hint="eastAsia"/>
              </w:rPr>
              <w:t>PC-B</w:t>
            </w:r>
          </w:p>
        </w:tc>
      </w:tr>
      <w:tr w14:paraId="37A9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8" w:type="dxa"/>
            <w:vAlign w:val="center"/>
          </w:tcPr>
          <w:p w14:paraId="002D3595">
            <w:pPr>
              <w:pStyle w:val="45"/>
            </w:pPr>
            <w:r>
              <w:rPr>
                <w:rFonts w:hint="eastAsia"/>
              </w:rPr>
              <w:t>梁</w:t>
            </w:r>
          </w:p>
        </w:tc>
        <w:tc>
          <w:tcPr>
            <w:tcW w:w="4148" w:type="dxa"/>
            <w:vAlign w:val="center"/>
          </w:tcPr>
          <w:p w14:paraId="616D42D5">
            <w:pPr>
              <w:pStyle w:val="45"/>
            </w:pPr>
            <w:r>
              <w:rPr>
                <w:rFonts w:hint="eastAsia"/>
              </w:rPr>
              <w:t>PC-L</w:t>
            </w:r>
          </w:p>
        </w:tc>
      </w:tr>
      <w:tr w14:paraId="4211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8" w:type="dxa"/>
            <w:vAlign w:val="center"/>
          </w:tcPr>
          <w:p w14:paraId="0AB43262">
            <w:pPr>
              <w:pStyle w:val="45"/>
            </w:pPr>
            <w:r>
              <w:rPr>
                <w:rFonts w:hint="eastAsia"/>
              </w:rPr>
              <w:t>柱</w:t>
            </w:r>
          </w:p>
        </w:tc>
        <w:tc>
          <w:tcPr>
            <w:tcW w:w="4148" w:type="dxa"/>
            <w:vAlign w:val="center"/>
          </w:tcPr>
          <w:p w14:paraId="3DFD862F">
            <w:pPr>
              <w:pStyle w:val="45"/>
            </w:pPr>
            <w:r>
              <w:rPr>
                <w:rFonts w:hint="eastAsia"/>
              </w:rPr>
              <w:t>PC-Z</w:t>
            </w:r>
          </w:p>
        </w:tc>
      </w:tr>
      <w:tr w14:paraId="6ACA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8" w:type="dxa"/>
            <w:vAlign w:val="center"/>
          </w:tcPr>
          <w:p w14:paraId="37AE07A3">
            <w:pPr>
              <w:pStyle w:val="45"/>
            </w:pPr>
            <w:r>
              <w:rPr>
                <w:rFonts w:hint="eastAsia"/>
              </w:rPr>
              <w:t>剪力墙</w:t>
            </w:r>
          </w:p>
        </w:tc>
        <w:tc>
          <w:tcPr>
            <w:tcW w:w="4148" w:type="dxa"/>
            <w:vAlign w:val="center"/>
          </w:tcPr>
          <w:p w14:paraId="2A67CA57">
            <w:pPr>
              <w:pStyle w:val="45"/>
            </w:pPr>
            <w:r>
              <w:rPr>
                <w:rFonts w:hint="eastAsia"/>
              </w:rPr>
              <w:t>PC-JLQ</w:t>
            </w:r>
          </w:p>
        </w:tc>
      </w:tr>
      <w:tr w14:paraId="72A9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8" w:type="dxa"/>
            <w:vAlign w:val="center"/>
          </w:tcPr>
          <w:p w14:paraId="678A3520">
            <w:pPr>
              <w:pStyle w:val="45"/>
            </w:pPr>
            <w:r>
              <w:rPr>
                <w:rFonts w:hint="eastAsia"/>
              </w:rPr>
              <w:t>楼梯</w:t>
            </w:r>
          </w:p>
        </w:tc>
        <w:tc>
          <w:tcPr>
            <w:tcW w:w="4148" w:type="dxa"/>
            <w:vAlign w:val="center"/>
          </w:tcPr>
          <w:p w14:paraId="3C250124">
            <w:pPr>
              <w:pStyle w:val="45"/>
            </w:pPr>
            <w:r>
              <w:rPr>
                <w:rFonts w:hint="eastAsia"/>
              </w:rPr>
              <w:t>PC-LT</w:t>
            </w:r>
          </w:p>
        </w:tc>
      </w:tr>
      <w:tr w14:paraId="7D3C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8" w:type="dxa"/>
            <w:vAlign w:val="center"/>
          </w:tcPr>
          <w:p w14:paraId="6CA79C62">
            <w:pPr>
              <w:pStyle w:val="45"/>
            </w:pPr>
            <w:r>
              <w:rPr>
                <w:rFonts w:hint="eastAsia"/>
              </w:rPr>
              <w:t>阳台</w:t>
            </w:r>
          </w:p>
        </w:tc>
        <w:tc>
          <w:tcPr>
            <w:tcW w:w="4148" w:type="dxa"/>
            <w:vAlign w:val="center"/>
          </w:tcPr>
          <w:p w14:paraId="75273C2E">
            <w:pPr>
              <w:pStyle w:val="45"/>
            </w:pPr>
            <w:r>
              <w:rPr>
                <w:rFonts w:hint="eastAsia"/>
              </w:rPr>
              <w:t>PC-YT</w:t>
            </w:r>
          </w:p>
        </w:tc>
      </w:tr>
      <w:tr w14:paraId="5098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8" w:type="dxa"/>
            <w:vAlign w:val="center"/>
          </w:tcPr>
          <w:p w14:paraId="1D2509B4">
            <w:pPr>
              <w:pStyle w:val="45"/>
            </w:pPr>
            <w:r>
              <w:rPr>
                <w:rFonts w:hint="eastAsia"/>
              </w:rPr>
              <w:t>空调板</w:t>
            </w:r>
          </w:p>
        </w:tc>
        <w:tc>
          <w:tcPr>
            <w:tcW w:w="4148" w:type="dxa"/>
            <w:vAlign w:val="center"/>
          </w:tcPr>
          <w:p w14:paraId="30F20AE5">
            <w:pPr>
              <w:pStyle w:val="45"/>
            </w:pPr>
            <w:r>
              <w:rPr>
                <w:rFonts w:hint="eastAsia"/>
              </w:rPr>
              <w:t>PC-KTB</w:t>
            </w:r>
          </w:p>
        </w:tc>
      </w:tr>
      <w:tr w14:paraId="0EC4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8" w:type="dxa"/>
            <w:vAlign w:val="center"/>
          </w:tcPr>
          <w:p w14:paraId="0DDC81AA">
            <w:pPr>
              <w:pStyle w:val="45"/>
            </w:pPr>
            <w:r>
              <w:rPr>
                <w:rFonts w:hint="eastAsia"/>
              </w:rPr>
              <w:t>女儿墙</w:t>
            </w:r>
          </w:p>
        </w:tc>
        <w:tc>
          <w:tcPr>
            <w:tcW w:w="4148" w:type="dxa"/>
            <w:vAlign w:val="center"/>
          </w:tcPr>
          <w:p w14:paraId="5F6708A9">
            <w:pPr>
              <w:pStyle w:val="45"/>
            </w:pPr>
            <w:r>
              <w:rPr>
                <w:rFonts w:hint="eastAsia"/>
              </w:rPr>
              <w:t>PC-NEQ</w:t>
            </w:r>
          </w:p>
        </w:tc>
      </w:tr>
      <w:tr w14:paraId="72E02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8" w:type="dxa"/>
            <w:vAlign w:val="center"/>
          </w:tcPr>
          <w:p w14:paraId="13473248">
            <w:pPr>
              <w:pStyle w:val="45"/>
            </w:pPr>
            <w:r>
              <w:rPr>
                <w:rFonts w:hint="eastAsia"/>
              </w:rPr>
              <w:t>承重墙</w:t>
            </w:r>
          </w:p>
        </w:tc>
        <w:tc>
          <w:tcPr>
            <w:tcW w:w="4148" w:type="dxa"/>
            <w:vAlign w:val="center"/>
          </w:tcPr>
          <w:p w14:paraId="2D60BA84">
            <w:pPr>
              <w:pStyle w:val="45"/>
            </w:pPr>
            <w:r>
              <w:rPr>
                <w:rFonts w:hint="eastAsia"/>
              </w:rPr>
              <w:t>PC-CZQ</w:t>
            </w:r>
          </w:p>
        </w:tc>
      </w:tr>
      <w:tr w14:paraId="0B46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8" w:type="dxa"/>
            <w:vAlign w:val="center"/>
          </w:tcPr>
          <w:p w14:paraId="1BA90185">
            <w:pPr>
              <w:pStyle w:val="45"/>
            </w:pPr>
            <w:r>
              <w:rPr>
                <w:rFonts w:hint="eastAsia"/>
              </w:rPr>
              <w:t>围护墙</w:t>
            </w:r>
          </w:p>
        </w:tc>
        <w:tc>
          <w:tcPr>
            <w:tcW w:w="4148" w:type="dxa"/>
            <w:vAlign w:val="center"/>
          </w:tcPr>
          <w:p w14:paraId="3DAC04F0">
            <w:pPr>
              <w:pStyle w:val="45"/>
            </w:pPr>
            <w:r>
              <w:rPr>
                <w:rFonts w:hint="eastAsia"/>
              </w:rPr>
              <w:t>PC-WHQ</w:t>
            </w:r>
          </w:p>
        </w:tc>
      </w:tr>
      <w:tr w14:paraId="13A7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8" w:type="dxa"/>
            <w:vAlign w:val="center"/>
          </w:tcPr>
          <w:p w14:paraId="1FFE644C">
            <w:pPr>
              <w:pStyle w:val="45"/>
            </w:pPr>
            <w:r>
              <w:rPr>
                <w:rFonts w:hint="eastAsia"/>
              </w:rPr>
              <w:t>内隔墙</w:t>
            </w:r>
          </w:p>
        </w:tc>
        <w:tc>
          <w:tcPr>
            <w:tcW w:w="4148" w:type="dxa"/>
            <w:vAlign w:val="center"/>
          </w:tcPr>
          <w:p w14:paraId="7D5A7E30">
            <w:pPr>
              <w:pStyle w:val="45"/>
            </w:pPr>
            <w:r>
              <w:rPr>
                <w:rFonts w:hint="eastAsia"/>
              </w:rPr>
              <w:t>PC-NGQ</w:t>
            </w:r>
          </w:p>
        </w:tc>
      </w:tr>
      <w:tr w14:paraId="5E78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8" w:type="dxa"/>
            <w:vAlign w:val="center"/>
          </w:tcPr>
          <w:p w14:paraId="2E6F5958">
            <w:pPr>
              <w:pStyle w:val="45"/>
            </w:pPr>
            <w:r>
              <w:rPr>
                <w:rFonts w:hint="eastAsia"/>
              </w:rPr>
              <w:t>其他</w:t>
            </w:r>
          </w:p>
        </w:tc>
        <w:tc>
          <w:tcPr>
            <w:tcW w:w="4148" w:type="dxa"/>
            <w:vAlign w:val="center"/>
          </w:tcPr>
          <w:p w14:paraId="00C3469C">
            <w:pPr>
              <w:pStyle w:val="45"/>
            </w:pPr>
            <w:r>
              <w:rPr>
                <w:rFonts w:hint="eastAsia"/>
              </w:rPr>
              <w:t>PC-QT</w:t>
            </w:r>
          </w:p>
        </w:tc>
      </w:tr>
    </w:tbl>
    <w:p w14:paraId="50D235B8">
      <w:pPr>
        <w:sectPr>
          <w:pgSz w:w="11906" w:h="16838"/>
          <w:pgMar w:top="1440" w:right="1800" w:bottom="1440" w:left="1800" w:header="851" w:footer="992" w:gutter="0"/>
          <w:cols w:space="425" w:num="1"/>
          <w:docGrid w:type="lines" w:linePitch="312" w:charSpace="0"/>
        </w:sectPr>
      </w:pPr>
    </w:p>
    <w:p w14:paraId="2B63A79D">
      <w:pPr>
        <w:pStyle w:val="2"/>
      </w:pPr>
      <w:bookmarkStart w:id="44" w:name="_Toc219879003"/>
      <w:bookmarkStart w:id="45" w:name="_Toc24886"/>
      <w:bookmarkStart w:id="46" w:name="_Toc1103"/>
      <w:bookmarkStart w:id="47" w:name="_Toc2735"/>
      <w:bookmarkStart w:id="48" w:name="_Toc221108984"/>
      <w:r>
        <w:t>本标准用词说明</w:t>
      </w:r>
      <w:bookmarkEnd w:id="44"/>
      <w:bookmarkEnd w:id="45"/>
      <w:bookmarkEnd w:id="46"/>
      <w:bookmarkEnd w:id="47"/>
      <w:bookmarkEnd w:id="48"/>
    </w:p>
    <w:p w14:paraId="29220EB9">
      <w:pPr>
        <w:tabs>
          <w:tab w:val="left" w:pos="2100"/>
        </w:tabs>
        <w:snapToGrid/>
        <w:spacing w:after="160"/>
        <w:rPr>
          <w:rFonts w:cs="Times New Roman"/>
          <w:color w:val="000000"/>
          <w:kern w:val="0"/>
          <w:szCs w:val="21"/>
        </w:rPr>
      </w:pPr>
      <w:bookmarkStart w:id="49" w:name="_Hlk219467185"/>
      <w:r>
        <w:rPr>
          <w:rFonts w:cs="Times New Roman"/>
          <w:b/>
          <w:bCs/>
          <w:color w:val="000000"/>
          <w:kern w:val="0"/>
          <w:szCs w:val="21"/>
        </w:rPr>
        <w:t>1</w:t>
      </w:r>
      <w:r>
        <w:rPr>
          <w:rFonts w:cs="Times New Roman"/>
          <w:color w:val="000000"/>
          <w:kern w:val="0"/>
          <w:szCs w:val="21"/>
        </w:rPr>
        <w:t xml:space="preserve">  </w:t>
      </w:r>
      <w:r>
        <w:rPr>
          <w:rFonts w:hint="eastAsia" w:cs="Times New Roman"/>
          <w:color w:val="000000"/>
          <w:kern w:val="0"/>
          <w:szCs w:val="21"/>
        </w:rPr>
        <w:t>为了便于在执行本规范条文时区别对待，对要求严格程度不同的用词说明如下：</w:t>
      </w:r>
    </w:p>
    <w:p w14:paraId="1A9B9D23">
      <w:pPr>
        <w:tabs>
          <w:tab w:val="left" w:pos="2100"/>
        </w:tabs>
        <w:snapToGrid/>
        <w:spacing w:after="160"/>
        <w:ind w:firstLine="422" w:firstLineChars="200"/>
        <w:rPr>
          <w:rFonts w:cs="Times New Roman"/>
          <w:color w:val="000000"/>
          <w:kern w:val="0"/>
          <w:szCs w:val="21"/>
        </w:rPr>
      </w:pPr>
      <w:r>
        <w:rPr>
          <w:rFonts w:cs="Times New Roman"/>
          <w:b/>
          <w:bCs/>
          <w:color w:val="000000"/>
          <w:kern w:val="0"/>
          <w:szCs w:val="21"/>
        </w:rPr>
        <w:t>1</w:t>
      </w:r>
      <w:r>
        <w:rPr>
          <w:rFonts w:hint="eastAsia" w:cs="Times New Roman"/>
          <w:color w:val="000000"/>
          <w:kern w:val="0"/>
          <w:szCs w:val="21"/>
        </w:rPr>
        <w:t>）</w:t>
      </w:r>
      <w:r>
        <w:rPr>
          <w:rFonts w:cs="Times New Roman"/>
          <w:color w:val="000000"/>
          <w:kern w:val="0"/>
          <w:szCs w:val="21"/>
        </w:rPr>
        <w:t xml:space="preserve"> </w:t>
      </w:r>
      <w:r>
        <w:rPr>
          <w:rFonts w:hint="eastAsia" w:cs="Times New Roman"/>
          <w:color w:val="000000"/>
          <w:kern w:val="0"/>
          <w:szCs w:val="21"/>
        </w:rPr>
        <w:t>表示很严格，非这样做不可的用词：</w:t>
      </w:r>
    </w:p>
    <w:p w14:paraId="5EE7F798">
      <w:pPr>
        <w:tabs>
          <w:tab w:val="left" w:pos="2100"/>
        </w:tabs>
        <w:snapToGrid/>
        <w:spacing w:after="160"/>
        <w:ind w:firstLine="420" w:firstLineChars="200"/>
        <w:rPr>
          <w:rFonts w:cs="Times New Roman"/>
          <w:color w:val="000000"/>
          <w:kern w:val="0"/>
          <w:szCs w:val="21"/>
        </w:rPr>
      </w:pPr>
      <w:r>
        <w:rPr>
          <w:rFonts w:hint="eastAsia" w:cs="Times New Roman"/>
          <w:color w:val="000000"/>
          <w:kern w:val="0"/>
          <w:szCs w:val="21"/>
        </w:rPr>
        <w:t>正面词采用</w:t>
      </w:r>
      <w:r>
        <w:rPr>
          <w:rFonts w:cs="Times New Roman"/>
          <w:color w:val="000000"/>
          <w:kern w:val="0"/>
          <w:szCs w:val="21"/>
        </w:rPr>
        <w:t>“</w:t>
      </w:r>
      <w:r>
        <w:rPr>
          <w:rFonts w:hint="eastAsia" w:cs="Times New Roman"/>
          <w:color w:val="000000"/>
          <w:kern w:val="0"/>
          <w:szCs w:val="21"/>
        </w:rPr>
        <w:t>必须</w:t>
      </w:r>
      <w:r>
        <w:rPr>
          <w:rFonts w:cs="Times New Roman"/>
          <w:color w:val="000000"/>
          <w:kern w:val="0"/>
          <w:szCs w:val="21"/>
        </w:rPr>
        <w:t>”</w:t>
      </w:r>
      <w:r>
        <w:rPr>
          <w:rFonts w:hint="eastAsia" w:cs="Times New Roman"/>
          <w:color w:val="000000"/>
          <w:kern w:val="0"/>
          <w:szCs w:val="21"/>
        </w:rPr>
        <w:t>；反面词采用</w:t>
      </w:r>
      <w:r>
        <w:rPr>
          <w:rFonts w:cs="Times New Roman"/>
          <w:color w:val="000000"/>
          <w:kern w:val="0"/>
          <w:szCs w:val="21"/>
        </w:rPr>
        <w:t>“</w:t>
      </w:r>
      <w:r>
        <w:rPr>
          <w:rFonts w:hint="eastAsia" w:cs="Times New Roman"/>
          <w:color w:val="000000"/>
          <w:kern w:val="0"/>
          <w:szCs w:val="21"/>
        </w:rPr>
        <w:t>严禁</w:t>
      </w:r>
      <w:r>
        <w:rPr>
          <w:rFonts w:cs="Times New Roman"/>
          <w:color w:val="000000"/>
          <w:kern w:val="0"/>
          <w:szCs w:val="21"/>
        </w:rPr>
        <w:t>”</w:t>
      </w:r>
      <w:r>
        <w:rPr>
          <w:rFonts w:hint="eastAsia" w:cs="Times New Roman"/>
          <w:color w:val="000000"/>
          <w:kern w:val="0"/>
          <w:szCs w:val="21"/>
        </w:rPr>
        <w:t>。</w:t>
      </w:r>
    </w:p>
    <w:p w14:paraId="04125EAF">
      <w:pPr>
        <w:tabs>
          <w:tab w:val="left" w:pos="2100"/>
        </w:tabs>
        <w:snapToGrid/>
        <w:spacing w:after="160"/>
        <w:ind w:firstLine="422" w:firstLineChars="200"/>
        <w:rPr>
          <w:rFonts w:cs="Times New Roman"/>
          <w:color w:val="000000"/>
          <w:kern w:val="0"/>
          <w:szCs w:val="21"/>
        </w:rPr>
      </w:pPr>
      <w:r>
        <w:rPr>
          <w:rFonts w:cs="Times New Roman"/>
          <w:b/>
          <w:bCs/>
          <w:color w:val="000000"/>
          <w:kern w:val="0"/>
          <w:szCs w:val="21"/>
        </w:rPr>
        <w:t>2</w:t>
      </w:r>
      <w:r>
        <w:rPr>
          <w:rFonts w:hint="eastAsia" w:cs="Times New Roman"/>
          <w:color w:val="000000"/>
          <w:kern w:val="0"/>
          <w:szCs w:val="21"/>
        </w:rPr>
        <w:t>）</w:t>
      </w:r>
      <w:r>
        <w:rPr>
          <w:rFonts w:cs="Times New Roman"/>
          <w:color w:val="000000"/>
          <w:kern w:val="0"/>
          <w:szCs w:val="21"/>
        </w:rPr>
        <w:t xml:space="preserve"> </w:t>
      </w:r>
      <w:r>
        <w:rPr>
          <w:rFonts w:hint="eastAsia" w:cs="Times New Roman"/>
          <w:color w:val="000000"/>
          <w:kern w:val="0"/>
          <w:szCs w:val="21"/>
        </w:rPr>
        <w:t>表示严格，在正常情况下均应这样做的用词：</w:t>
      </w:r>
    </w:p>
    <w:p w14:paraId="4FC71898">
      <w:pPr>
        <w:tabs>
          <w:tab w:val="left" w:pos="2100"/>
        </w:tabs>
        <w:snapToGrid/>
        <w:spacing w:after="160"/>
        <w:ind w:firstLine="420" w:firstLineChars="200"/>
        <w:rPr>
          <w:rFonts w:cs="Times New Roman"/>
          <w:color w:val="000000"/>
          <w:kern w:val="0"/>
          <w:szCs w:val="21"/>
        </w:rPr>
      </w:pPr>
      <w:r>
        <w:rPr>
          <w:rFonts w:cs="Times New Roman"/>
          <w:color w:val="000000"/>
          <w:kern w:val="0"/>
          <w:szCs w:val="21"/>
        </w:rPr>
        <w:t xml:space="preserve">    </w:t>
      </w:r>
      <w:r>
        <w:rPr>
          <w:rFonts w:hint="eastAsia" w:cs="Times New Roman"/>
          <w:color w:val="000000"/>
          <w:kern w:val="0"/>
          <w:szCs w:val="21"/>
        </w:rPr>
        <w:t>正面词采用</w:t>
      </w:r>
      <w:r>
        <w:rPr>
          <w:rFonts w:cs="Times New Roman"/>
          <w:color w:val="000000"/>
          <w:kern w:val="0"/>
          <w:szCs w:val="21"/>
        </w:rPr>
        <w:t>“</w:t>
      </w:r>
      <w:r>
        <w:rPr>
          <w:rFonts w:hint="eastAsia" w:cs="Times New Roman"/>
          <w:color w:val="000000"/>
          <w:kern w:val="0"/>
          <w:szCs w:val="21"/>
        </w:rPr>
        <w:t>应</w:t>
      </w:r>
      <w:r>
        <w:rPr>
          <w:rFonts w:cs="Times New Roman"/>
          <w:color w:val="000000"/>
          <w:kern w:val="0"/>
          <w:szCs w:val="21"/>
        </w:rPr>
        <w:t>”</w:t>
      </w:r>
      <w:r>
        <w:rPr>
          <w:rFonts w:hint="eastAsia" w:cs="Times New Roman"/>
          <w:color w:val="000000"/>
          <w:kern w:val="0"/>
          <w:szCs w:val="21"/>
        </w:rPr>
        <w:t>；反面词采用</w:t>
      </w:r>
      <w:r>
        <w:rPr>
          <w:rFonts w:cs="Times New Roman"/>
          <w:color w:val="000000"/>
          <w:kern w:val="0"/>
          <w:szCs w:val="21"/>
        </w:rPr>
        <w:t>“</w:t>
      </w:r>
      <w:r>
        <w:rPr>
          <w:rFonts w:hint="eastAsia" w:cs="Times New Roman"/>
          <w:color w:val="000000"/>
          <w:kern w:val="0"/>
          <w:szCs w:val="21"/>
        </w:rPr>
        <w:t>不应</w:t>
      </w:r>
      <w:r>
        <w:rPr>
          <w:rFonts w:cs="Times New Roman"/>
          <w:color w:val="000000"/>
          <w:kern w:val="0"/>
          <w:szCs w:val="21"/>
        </w:rPr>
        <w:t>”</w:t>
      </w:r>
      <w:r>
        <w:rPr>
          <w:rFonts w:hint="eastAsia" w:cs="Times New Roman"/>
          <w:color w:val="000000"/>
          <w:kern w:val="0"/>
          <w:szCs w:val="21"/>
        </w:rPr>
        <w:t>或</w:t>
      </w:r>
      <w:r>
        <w:rPr>
          <w:rFonts w:cs="Times New Roman"/>
          <w:color w:val="000000"/>
          <w:kern w:val="0"/>
          <w:szCs w:val="21"/>
        </w:rPr>
        <w:t>“</w:t>
      </w:r>
      <w:r>
        <w:rPr>
          <w:rFonts w:hint="eastAsia" w:cs="Times New Roman"/>
          <w:color w:val="000000"/>
          <w:kern w:val="0"/>
          <w:szCs w:val="21"/>
        </w:rPr>
        <w:t>不得</w:t>
      </w:r>
      <w:r>
        <w:rPr>
          <w:rFonts w:cs="Times New Roman"/>
          <w:color w:val="000000"/>
          <w:kern w:val="0"/>
          <w:szCs w:val="21"/>
        </w:rPr>
        <w:t>”</w:t>
      </w:r>
      <w:r>
        <w:rPr>
          <w:rFonts w:hint="eastAsia" w:cs="Times New Roman"/>
          <w:color w:val="000000"/>
          <w:kern w:val="0"/>
          <w:szCs w:val="21"/>
        </w:rPr>
        <w:t>。</w:t>
      </w:r>
    </w:p>
    <w:p w14:paraId="240761D4">
      <w:pPr>
        <w:tabs>
          <w:tab w:val="left" w:pos="2100"/>
        </w:tabs>
        <w:snapToGrid/>
        <w:spacing w:after="160"/>
        <w:ind w:firstLine="420" w:firstLineChars="200"/>
        <w:rPr>
          <w:rFonts w:cs="Times New Roman"/>
          <w:color w:val="000000"/>
          <w:kern w:val="0"/>
          <w:szCs w:val="21"/>
        </w:rPr>
      </w:pPr>
      <w:r>
        <w:rPr>
          <w:rFonts w:hint="eastAsia" w:cs="Times New Roman"/>
          <w:color w:val="000000"/>
          <w:kern w:val="0"/>
          <w:szCs w:val="21"/>
        </w:rPr>
        <w:t>表示允许稍有选择，在条件许可时首先这样做的用词：</w:t>
      </w:r>
    </w:p>
    <w:p w14:paraId="4A40B6FD">
      <w:pPr>
        <w:tabs>
          <w:tab w:val="left" w:pos="2100"/>
        </w:tabs>
        <w:snapToGrid/>
        <w:spacing w:after="160"/>
        <w:ind w:firstLine="422" w:firstLineChars="200"/>
        <w:rPr>
          <w:rFonts w:cs="Times New Roman"/>
          <w:color w:val="000000"/>
          <w:kern w:val="0"/>
          <w:szCs w:val="21"/>
        </w:rPr>
      </w:pPr>
      <w:r>
        <w:rPr>
          <w:rFonts w:cs="Times New Roman"/>
          <w:b/>
          <w:bCs/>
          <w:color w:val="000000"/>
          <w:kern w:val="0"/>
          <w:szCs w:val="21"/>
        </w:rPr>
        <w:t>3</w:t>
      </w:r>
      <w:r>
        <w:rPr>
          <w:rFonts w:hint="eastAsia" w:cs="Times New Roman"/>
          <w:color w:val="000000"/>
          <w:kern w:val="0"/>
          <w:szCs w:val="21"/>
        </w:rPr>
        <w:t>）</w:t>
      </w:r>
      <w:r>
        <w:rPr>
          <w:rFonts w:cs="Times New Roman"/>
          <w:color w:val="000000"/>
          <w:kern w:val="0"/>
          <w:szCs w:val="21"/>
        </w:rPr>
        <w:t xml:space="preserve"> </w:t>
      </w:r>
      <w:r>
        <w:rPr>
          <w:rFonts w:hint="eastAsia" w:cs="Times New Roman"/>
          <w:color w:val="000000"/>
          <w:kern w:val="0"/>
          <w:szCs w:val="21"/>
        </w:rPr>
        <w:t>正面词采用</w:t>
      </w:r>
      <w:r>
        <w:rPr>
          <w:rFonts w:cs="Times New Roman"/>
          <w:color w:val="000000"/>
          <w:kern w:val="0"/>
          <w:szCs w:val="21"/>
        </w:rPr>
        <w:t>“</w:t>
      </w:r>
      <w:r>
        <w:rPr>
          <w:rFonts w:hint="eastAsia" w:cs="Times New Roman"/>
          <w:color w:val="000000"/>
          <w:kern w:val="0"/>
          <w:szCs w:val="21"/>
        </w:rPr>
        <w:t>宜</w:t>
      </w:r>
      <w:r>
        <w:rPr>
          <w:rFonts w:cs="Times New Roman"/>
          <w:color w:val="000000"/>
          <w:kern w:val="0"/>
          <w:szCs w:val="21"/>
        </w:rPr>
        <w:t>”</w:t>
      </w:r>
      <w:r>
        <w:rPr>
          <w:rFonts w:hint="eastAsia" w:cs="Times New Roman"/>
          <w:color w:val="000000"/>
          <w:kern w:val="0"/>
          <w:szCs w:val="21"/>
        </w:rPr>
        <w:t>，反面词采用</w:t>
      </w:r>
      <w:r>
        <w:rPr>
          <w:rFonts w:cs="Times New Roman"/>
          <w:color w:val="000000"/>
          <w:kern w:val="0"/>
          <w:szCs w:val="21"/>
        </w:rPr>
        <w:t>“</w:t>
      </w:r>
      <w:r>
        <w:rPr>
          <w:rFonts w:hint="eastAsia" w:cs="Times New Roman"/>
          <w:color w:val="000000"/>
          <w:kern w:val="0"/>
          <w:szCs w:val="21"/>
        </w:rPr>
        <w:t>不宜</w:t>
      </w:r>
      <w:r>
        <w:rPr>
          <w:rFonts w:cs="Times New Roman"/>
          <w:color w:val="000000"/>
          <w:kern w:val="0"/>
          <w:szCs w:val="21"/>
        </w:rPr>
        <w:t>”</w:t>
      </w:r>
      <w:r>
        <w:rPr>
          <w:rFonts w:hint="eastAsia" w:cs="Times New Roman"/>
          <w:color w:val="000000"/>
          <w:kern w:val="0"/>
          <w:szCs w:val="21"/>
        </w:rPr>
        <w:t>；</w:t>
      </w:r>
    </w:p>
    <w:p w14:paraId="2FB8F1DC">
      <w:pPr>
        <w:tabs>
          <w:tab w:val="left" w:pos="2100"/>
        </w:tabs>
        <w:snapToGrid/>
        <w:spacing w:after="160"/>
        <w:ind w:firstLine="420" w:firstLineChars="200"/>
        <w:rPr>
          <w:rFonts w:cs="Times New Roman"/>
          <w:color w:val="000000"/>
          <w:kern w:val="0"/>
          <w:szCs w:val="21"/>
        </w:rPr>
      </w:pPr>
      <w:r>
        <w:rPr>
          <w:rFonts w:cs="Times New Roman"/>
          <w:color w:val="000000"/>
          <w:kern w:val="0"/>
          <w:szCs w:val="21"/>
        </w:rPr>
        <w:t xml:space="preserve">    </w:t>
      </w:r>
      <w:r>
        <w:rPr>
          <w:rFonts w:hint="eastAsia" w:cs="Times New Roman"/>
          <w:color w:val="000000"/>
          <w:kern w:val="0"/>
          <w:szCs w:val="21"/>
        </w:rPr>
        <w:t>表示有选择，在一定条件下可以这样做的，采用</w:t>
      </w:r>
      <w:r>
        <w:rPr>
          <w:rFonts w:cs="Times New Roman"/>
          <w:color w:val="000000"/>
          <w:kern w:val="0"/>
          <w:szCs w:val="21"/>
        </w:rPr>
        <w:t>“</w:t>
      </w:r>
      <w:r>
        <w:rPr>
          <w:rFonts w:hint="eastAsia" w:cs="Times New Roman"/>
          <w:color w:val="000000"/>
          <w:kern w:val="0"/>
          <w:szCs w:val="21"/>
        </w:rPr>
        <w:t>可</w:t>
      </w:r>
      <w:r>
        <w:rPr>
          <w:rFonts w:cs="Times New Roman"/>
          <w:color w:val="000000"/>
          <w:kern w:val="0"/>
          <w:szCs w:val="21"/>
        </w:rPr>
        <w:t>”</w:t>
      </w:r>
      <w:r>
        <w:rPr>
          <w:rFonts w:hint="eastAsia" w:cs="Times New Roman"/>
          <w:color w:val="000000"/>
          <w:kern w:val="0"/>
          <w:szCs w:val="21"/>
        </w:rPr>
        <w:t>。</w:t>
      </w:r>
    </w:p>
    <w:p w14:paraId="6523589D">
      <w:pPr>
        <w:tabs>
          <w:tab w:val="left" w:pos="2100"/>
        </w:tabs>
        <w:snapToGrid/>
        <w:spacing w:after="160"/>
        <w:rPr>
          <w:rFonts w:cs="Times New Roman"/>
          <w:color w:val="000000"/>
          <w:kern w:val="0"/>
          <w:szCs w:val="21"/>
        </w:rPr>
      </w:pPr>
      <w:r>
        <w:rPr>
          <w:rFonts w:cs="Times New Roman"/>
          <w:b/>
          <w:bCs/>
          <w:color w:val="000000"/>
          <w:kern w:val="0"/>
          <w:szCs w:val="21"/>
        </w:rPr>
        <w:t>2</w:t>
      </w:r>
      <w:r>
        <w:rPr>
          <w:rFonts w:cs="Times New Roman"/>
          <w:color w:val="000000"/>
          <w:kern w:val="0"/>
          <w:szCs w:val="21"/>
        </w:rPr>
        <w:t xml:space="preserve">  </w:t>
      </w:r>
      <w:r>
        <w:rPr>
          <w:rFonts w:hint="eastAsia" w:cs="Times New Roman"/>
          <w:color w:val="000000"/>
          <w:kern w:val="0"/>
          <w:szCs w:val="21"/>
        </w:rPr>
        <w:t>标准中指定应按其他有关标准、规范执行时，写法为：</w:t>
      </w:r>
      <w:r>
        <w:rPr>
          <w:rFonts w:cs="Times New Roman"/>
          <w:color w:val="000000"/>
          <w:kern w:val="0"/>
          <w:szCs w:val="21"/>
        </w:rPr>
        <w:t>“</w:t>
      </w:r>
      <w:r>
        <w:rPr>
          <w:rFonts w:hint="eastAsia" w:cs="Times New Roman"/>
          <w:color w:val="000000"/>
          <w:kern w:val="0"/>
          <w:szCs w:val="21"/>
        </w:rPr>
        <w:t>应符合</w:t>
      </w:r>
      <w:r>
        <w:rPr>
          <w:rFonts w:cs="Times New Roman"/>
          <w:color w:val="000000"/>
          <w:kern w:val="0"/>
          <w:szCs w:val="21"/>
        </w:rPr>
        <w:t>……</w:t>
      </w:r>
      <w:r>
        <w:rPr>
          <w:rFonts w:hint="eastAsia" w:cs="Times New Roman"/>
          <w:color w:val="000000"/>
          <w:kern w:val="0"/>
          <w:szCs w:val="21"/>
        </w:rPr>
        <w:t>有关规定（要求）</w:t>
      </w:r>
      <w:r>
        <w:rPr>
          <w:rFonts w:cs="Times New Roman"/>
          <w:color w:val="000000"/>
          <w:kern w:val="0"/>
          <w:szCs w:val="21"/>
        </w:rPr>
        <w:t>”</w:t>
      </w:r>
      <w:r>
        <w:rPr>
          <w:rFonts w:hint="eastAsia" w:cs="Times New Roman"/>
          <w:color w:val="000000"/>
          <w:kern w:val="0"/>
          <w:szCs w:val="21"/>
        </w:rPr>
        <w:t>或</w:t>
      </w:r>
      <w:r>
        <w:rPr>
          <w:rFonts w:cs="Times New Roman"/>
          <w:color w:val="000000"/>
          <w:kern w:val="0"/>
          <w:szCs w:val="21"/>
        </w:rPr>
        <w:t>“</w:t>
      </w:r>
      <w:r>
        <w:rPr>
          <w:rFonts w:hint="eastAsia" w:cs="Times New Roman"/>
          <w:color w:val="000000"/>
          <w:kern w:val="0"/>
          <w:szCs w:val="21"/>
        </w:rPr>
        <w:t>应按</w:t>
      </w:r>
      <w:r>
        <w:rPr>
          <w:rFonts w:cs="Times New Roman"/>
          <w:color w:val="000000"/>
          <w:kern w:val="0"/>
          <w:szCs w:val="21"/>
        </w:rPr>
        <w:t>……</w:t>
      </w:r>
      <w:r>
        <w:rPr>
          <w:rFonts w:hint="eastAsia" w:cs="Times New Roman"/>
          <w:color w:val="000000"/>
          <w:kern w:val="0"/>
          <w:szCs w:val="21"/>
        </w:rPr>
        <w:t>执行。</w:t>
      </w:r>
      <w:bookmarkEnd w:id="49"/>
    </w:p>
    <w:p w14:paraId="180B7B1F">
      <w:pPr>
        <w:sectPr>
          <w:pgSz w:w="11906" w:h="16838"/>
          <w:pgMar w:top="1440" w:right="1800" w:bottom="1440" w:left="1800" w:header="851" w:footer="992" w:gutter="0"/>
          <w:cols w:space="425" w:num="1"/>
          <w:docGrid w:type="lines" w:linePitch="312" w:charSpace="0"/>
        </w:sectPr>
      </w:pPr>
    </w:p>
    <w:p w14:paraId="0B7EFFF3">
      <w:pPr>
        <w:pStyle w:val="2"/>
        <w:tabs>
          <w:tab w:val="left" w:pos="2965"/>
          <w:tab w:val="center" w:pos="4213"/>
        </w:tabs>
        <w:rPr>
          <w:color w:val="000000"/>
          <w:szCs w:val="28"/>
        </w:rPr>
      </w:pPr>
      <w:bookmarkStart w:id="50" w:name="_Toc16764"/>
      <w:bookmarkStart w:id="51" w:name="_Toc219879004"/>
      <w:bookmarkStart w:id="52" w:name="_Toc221108985"/>
      <w:bookmarkStart w:id="53" w:name="_Toc25288"/>
      <w:bookmarkStart w:id="54" w:name="_Toc30194"/>
      <w:r>
        <w:rPr>
          <w:color w:val="000000"/>
          <w:szCs w:val="28"/>
        </w:rPr>
        <w:t>引用标准名录</w:t>
      </w:r>
      <w:bookmarkEnd w:id="50"/>
      <w:bookmarkEnd w:id="51"/>
      <w:bookmarkEnd w:id="52"/>
      <w:bookmarkEnd w:id="53"/>
      <w:bookmarkEnd w:id="54"/>
    </w:p>
    <w:p w14:paraId="222DBCC9"/>
    <w:p w14:paraId="4FB024A4">
      <w:pPr>
        <w:snapToGrid/>
        <w:spacing w:after="160"/>
        <w:textAlignment w:val="baseline"/>
        <w:rPr>
          <w:rFonts w:cs="Times New Roman"/>
          <w:color w:val="000000"/>
          <w:kern w:val="0"/>
          <w:szCs w:val="21"/>
          <w:lang w:eastAsia="zh-Hans"/>
        </w:rPr>
      </w:pPr>
      <w:r>
        <w:rPr>
          <w:rFonts w:hint="eastAsia" w:cs="Times New Roman"/>
          <w:color w:val="000000"/>
          <w:kern w:val="0"/>
          <w:szCs w:val="21"/>
        </w:rPr>
        <w:t>1</w:t>
      </w:r>
      <w:r>
        <w:rPr>
          <w:rFonts w:cs="Times New Roman"/>
          <w:color w:val="000000"/>
          <w:kern w:val="0"/>
          <w:szCs w:val="21"/>
        </w:rPr>
        <w:t xml:space="preserve"> </w:t>
      </w:r>
      <w:r>
        <w:rPr>
          <w:rFonts w:hint="eastAsia" w:cs="Times New Roman"/>
          <w:color w:val="000000"/>
          <w:kern w:val="0"/>
          <w:szCs w:val="21"/>
          <w:lang w:eastAsia="zh-Hans"/>
        </w:rPr>
        <w:t>《信息分类和编码的基本原则和方法》GB/T 7027</w:t>
      </w:r>
    </w:p>
    <w:p w14:paraId="337A7534">
      <w:pPr>
        <w:snapToGrid/>
        <w:spacing w:after="160"/>
        <w:textAlignment w:val="baseline"/>
        <w:rPr>
          <w:rFonts w:cs="Times New Roman"/>
          <w:color w:val="000000"/>
          <w:kern w:val="0"/>
          <w:szCs w:val="21"/>
        </w:rPr>
      </w:pPr>
      <w:r>
        <w:rPr>
          <w:rFonts w:hint="eastAsia" w:cs="Times New Roman"/>
          <w:color w:val="000000"/>
          <w:kern w:val="0"/>
          <w:szCs w:val="21"/>
        </w:rPr>
        <w:t xml:space="preserve">2 </w:t>
      </w:r>
      <w:r>
        <w:rPr>
          <w:rFonts w:hint="eastAsia" w:cs="Times New Roman"/>
          <w:color w:val="000000"/>
          <w:kern w:val="0"/>
          <w:szCs w:val="21"/>
          <w:lang w:eastAsia="zh-Hans"/>
        </w:rPr>
        <w:t>《建筑信息模型设计交付标准》GB/T 51301</w:t>
      </w:r>
    </w:p>
    <w:p w14:paraId="7BEF2C9F">
      <w:pPr>
        <w:snapToGrid/>
        <w:spacing w:after="160"/>
        <w:textAlignment w:val="baseline"/>
        <w:rPr>
          <w:rFonts w:cs="Times New Roman"/>
          <w:color w:val="000000"/>
          <w:kern w:val="0"/>
          <w:szCs w:val="21"/>
        </w:rPr>
      </w:pPr>
      <w:r>
        <w:rPr>
          <w:rFonts w:hint="eastAsia" w:cs="Times New Roman"/>
          <w:color w:val="000000"/>
          <w:kern w:val="0"/>
          <w:szCs w:val="21"/>
        </w:rPr>
        <w:t>3</w:t>
      </w:r>
      <w:r>
        <w:rPr>
          <w:rFonts w:hint="eastAsia" w:cs="Times New Roman"/>
          <w:b/>
          <w:bCs/>
          <w:color w:val="000000"/>
          <w:kern w:val="0"/>
          <w:szCs w:val="21"/>
        </w:rPr>
        <w:t xml:space="preserve"> </w:t>
      </w:r>
      <w:r>
        <w:rPr>
          <w:rFonts w:hint="eastAsia" w:cs="Times New Roman"/>
          <w:color w:val="000000"/>
          <w:kern w:val="0"/>
          <w:szCs w:val="21"/>
        </w:rPr>
        <w:t>《建筑信息模型应用统一标准》GB/T 51212</w:t>
      </w:r>
    </w:p>
    <w:p w14:paraId="218FBCB6">
      <w:pPr>
        <w:snapToGrid/>
        <w:spacing w:after="160"/>
        <w:textAlignment w:val="baseline"/>
        <w:rPr>
          <w:rFonts w:cs="Times New Roman"/>
          <w:color w:val="000000"/>
          <w:kern w:val="0"/>
          <w:szCs w:val="21"/>
          <w:lang w:eastAsia="zh-Hans"/>
        </w:rPr>
      </w:pPr>
      <w:r>
        <w:rPr>
          <w:rFonts w:hint="eastAsia" w:cs="Times New Roman"/>
          <w:color w:val="000000"/>
          <w:kern w:val="0"/>
          <w:szCs w:val="21"/>
        </w:rPr>
        <w:t>4 《系统与软件工程系统与软件质量要求、和评价（SQuaRE）第51部分：就绪可用软件产品（RUSP）的质量要求和测试细则》GB/T 25000.51</w:t>
      </w:r>
    </w:p>
    <w:p w14:paraId="224749CB">
      <w:pPr>
        <w:snapToGrid/>
        <w:spacing w:after="160"/>
        <w:textAlignment w:val="baseline"/>
        <w:rPr>
          <w:rFonts w:cs="Times New Roman"/>
          <w:color w:val="000000"/>
          <w:kern w:val="0"/>
          <w:szCs w:val="21"/>
        </w:rPr>
      </w:pPr>
      <w:r>
        <w:rPr>
          <w:rFonts w:hint="eastAsia" w:cs="Times New Roman"/>
          <w:color w:val="000000"/>
          <w:kern w:val="0"/>
          <w:szCs w:val="21"/>
        </w:rPr>
        <w:t>5</w:t>
      </w:r>
      <w:r>
        <w:rPr>
          <w:rFonts w:hint="eastAsia" w:cs="Times New Roman"/>
          <w:b/>
          <w:bCs/>
          <w:color w:val="000000"/>
          <w:kern w:val="0"/>
          <w:szCs w:val="21"/>
        </w:rPr>
        <w:t xml:space="preserve"> </w:t>
      </w:r>
      <w:r>
        <w:rPr>
          <w:rFonts w:hint="eastAsia" w:cs="Times New Roman"/>
          <w:color w:val="000000"/>
          <w:kern w:val="0"/>
          <w:szCs w:val="21"/>
        </w:rPr>
        <w:t>《信息安全技术 网络安全等级保护基本要求》/T 22239</w:t>
      </w:r>
    </w:p>
    <w:p w14:paraId="23E6A2A6">
      <w:pPr>
        <w:snapToGrid/>
        <w:spacing w:after="160"/>
        <w:textAlignment w:val="baseline"/>
        <w:rPr>
          <w:rFonts w:cs="Times New Roman"/>
          <w:color w:val="000000"/>
          <w:kern w:val="0"/>
          <w:szCs w:val="21"/>
        </w:rPr>
      </w:pPr>
      <w:r>
        <w:rPr>
          <w:rFonts w:hint="eastAsia" w:cs="Times New Roman"/>
          <w:color w:val="000000"/>
          <w:kern w:val="0"/>
          <w:szCs w:val="21"/>
        </w:rPr>
        <w:t>6 《应用软件接口标准编写技术要素》GA/T1293</w:t>
      </w:r>
    </w:p>
    <w:p w14:paraId="61FA9318"/>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65BBD">
    <w:pPr>
      <w:pStyle w:val="14"/>
      <w:jc w:val="center"/>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27309">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4A174">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52FBF">
    <w:pPr>
      <w:pStyle w:val="14"/>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168B9">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AADFD">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B6B3E">
    <w:pPr>
      <w:pStyle w:val="1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879"/>
    <w:rsid w:val="00026CED"/>
    <w:rsid w:val="000277E4"/>
    <w:rsid w:val="00043414"/>
    <w:rsid w:val="00064F65"/>
    <w:rsid w:val="00070754"/>
    <w:rsid w:val="00084DE8"/>
    <w:rsid w:val="00094542"/>
    <w:rsid w:val="000959C7"/>
    <w:rsid w:val="000C1D95"/>
    <w:rsid w:val="001027C2"/>
    <w:rsid w:val="00104F36"/>
    <w:rsid w:val="00112A98"/>
    <w:rsid w:val="00116A49"/>
    <w:rsid w:val="0012352D"/>
    <w:rsid w:val="00126ECA"/>
    <w:rsid w:val="00152415"/>
    <w:rsid w:val="001D6879"/>
    <w:rsid w:val="00234942"/>
    <w:rsid w:val="00240DB4"/>
    <w:rsid w:val="002733E4"/>
    <w:rsid w:val="00295372"/>
    <w:rsid w:val="002970FC"/>
    <w:rsid w:val="002D305C"/>
    <w:rsid w:val="002D4E90"/>
    <w:rsid w:val="002D61C3"/>
    <w:rsid w:val="002F71BB"/>
    <w:rsid w:val="00336689"/>
    <w:rsid w:val="003418D0"/>
    <w:rsid w:val="0034341C"/>
    <w:rsid w:val="00372AB2"/>
    <w:rsid w:val="00376DC5"/>
    <w:rsid w:val="003862A9"/>
    <w:rsid w:val="003908FA"/>
    <w:rsid w:val="00390E5F"/>
    <w:rsid w:val="00397A6C"/>
    <w:rsid w:val="003A5C98"/>
    <w:rsid w:val="003B5186"/>
    <w:rsid w:val="003B6D43"/>
    <w:rsid w:val="003C4D7D"/>
    <w:rsid w:val="003E2A8A"/>
    <w:rsid w:val="003E3CEB"/>
    <w:rsid w:val="003F0CB5"/>
    <w:rsid w:val="0041190E"/>
    <w:rsid w:val="00437830"/>
    <w:rsid w:val="0045632B"/>
    <w:rsid w:val="004614C6"/>
    <w:rsid w:val="00477570"/>
    <w:rsid w:val="00481BCD"/>
    <w:rsid w:val="0048638E"/>
    <w:rsid w:val="004B712C"/>
    <w:rsid w:val="004D739A"/>
    <w:rsid w:val="004E2ECB"/>
    <w:rsid w:val="004E5923"/>
    <w:rsid w:val="004F1392"/>
    <w:rsid w:val="004F49E9"/>
    <w:rsid w:val="005019BF"/>
    <w:rsid w:val="00524FD2"/>
    <w:rsid w:val="005346CF"/>
    <w:rsid w:val="00550676"/>
    <w:rsid w:val="00557F68"/>
    <w:rsid w:val="005646C7"/>
    <w:rsid w:val="00572AA6"/>
    <w:rsid w:val="0058171A"/>
    <w:rsid w:val="0059723A"/>
    <w:rsid w:val="005B402F"/>
    <w:rsid w:val="005C69FF"/>
    <w:rsid w:val="005D2C75"/>
    <w:rsid w:val="00610FD7"/>
    <w:rsid w:val="006112FC"/>
    <w:rsid w:val="00617E07"/>
    <w:rsid w:val="00630B8A"/>
    <w:rsid w:val="00643D51"/>
    <w:rsid w:val="00663FA1"/>
    <w:rsid w:val="006940BD"/>
    <w:rsid w:val="006C3DD1"/>
    <w:rsid w:val="006E7081"/>
    <w:rsid w:val="006F7BCA"/>
    <w:rsid w:val="00702808"/>
    <w:rsid w:val="007122DE"/>
    <w:rsid w:val="0072721B"/>
    <w:rsid w:val="00732D13"/>
    <w:rsid w:val="007437CB"/>
    <w:rsid w:val="00760AD2"/>
    <w:rsid w:val="007616E9"/>
    <w:rsid w:val="00766FBA"/>
    <w:rsid w:val="00777B27"/>
    <w:rsid w:val="00791E95"/>
    <w:rsid w:val="00792465"/>
    <w:rsid w:val="007A3707"/>
    <w:rsid w:val="007C0370"/>
    <w:rsid w:val="007D1515"/>
    <w:rsid w:val="007D598A"/>
    <w:rsid w:val="0080387F"/>
    <w:rsid w:val="00821452"/>
    <w:rsid w:val="008355C1"/>
    <w:rsid w:val="00846B31"/>
    <w:rsid w:val="00863F98"/>
    <w:rsid w:val="00891143"/>
    <w:rsid w:val="0089183B"/>
    <w:rsid w:val="008B6F45"/>
    <w:rsid w:val="008C669D"/>
    <w:rsid w:val="008D7C82"/>
    <w:rsid w:val="008F14C0"/>
    <w:rsid w:val="00902F0A"/>
    <w:rsid w:val="0091140E"/>
    <w:rsid w:val="009570BC"/>
    <w:rsid w:val="009622D7"/>
    <w:rsid w:val="00974C3A"/>
    <w:rsid w:val="009840FD"/>
    <w:rsid w:val="00986E90"/>
    <w:rsid w:val="00994A6C"/>
    <w:rsid w:val="009B0AE7"/>
    <w:rsid w:val="009F6D34"/>
    <w:rsid w:val="009F7F67"/>
    <w:rsid w:val="00A068A4"/>
    <w:rsid w:val="00A13C12"/>
    <w:rsid w:val="00A16A6F"/>
    <w:rsid w:val="00A24039"/>
    <w:rsid w:val="00A24464"/>
    <w:rsid w:val="00A34E96"/>
    <w:rsid w:val="00A442E8"/>
    <w:rsid w:val="00A561FD"/>
    <w:rsid w:val="00AA5110"/>
    <w:rsid w:val="00AA59E0"/>
    <w:rsid w:val="00AC609D"/>
    <w:rsid w:val="00AD52ED"/>
    <w:rsid w:val="00AF639B"/>
    <w:rsid w:val="00B00F72"/>
    <w:rsid w:val="00B21CAB"/>
    <w:rsid w:val="00B3380B"/>
    <w:rsid w:val="00B36B65"/>
    <w:rsid w:val="00B514A2"/>
    <w:rsid w:val="00B60760"/>
    <w:rsid w:val="00B74EB5"/>
    <w:rsid w:val="00B95BFB"/>
    <w:rsid w:val="00B970C3"/>
    <w:rsid w:val="00BC5347"/>
    <w:rsid w:val="00BE0680"/>
    <w:rsid w:val="00BE7CD7"/>
    <w:rsid w:val="00C00839"/>
    <w:rsid w:val="00C2528E"/>
    <w:rsid w:val="00C52BA6"/>
    <w:rsid w:val="00C56F79"/>
    <w:rsid w:val="00C62B84"/>
    <w:rsid w:val="00C7454B"/>
    <w:rsid w:val="00C75C4C"/>
    <w:rsid w:val="00C918E4"/>
    <w:rsid w:val="00C92FDA"/>
    <w:rsid w:val="00CB33DA"/>
    <w:rsid w:val="00CC25CF"/>
    <w:rsid w:val="00CD264E"/>
    <w:rsid w:val="00CD6DBD"/>
    <w:rsid w:val="00CE2897"/>
    <w:rsid w:val="00CF296B"/>
    <w:rsid w:val="00CF78D2"/>
    <w:rsid w:val="00D02E0E"/>
    <w:rsid w:val="00D03EEF"/>
    <w:rsid w:val="00D137D1"/>
    <w:rsid w:val="00D5271B"/>
    <w:rsid w:val="00D547FB"/>
    <w:rsid w:val="00D66861"/>
    <w:rsid w:val="00D76DAB"/>
    <w:rsid w:val="00D8146A"/>
    <w:rsid w:val="00DA40FB"/>
    <w:rsid w:val="00DB29E2"/>
    <w:rsid w:val="00DC3A0C"/>
    <w:rsid w:val="00DD5A07"/>
    <w:rsid w:val="00DD7309"/>
    <w:rsid w:val="00DE534D"/>
    <w:rsid w:val="00E1499F"/>
    <w:rsid w:val="00E174D8"/>
    <w:rsid w:val="00E24751"/>
    <w:rsid w:val="00E326C3"/>
    <w:rsid w:val="00E40102"/>
    <w:rsid w:val="00E4121B"/>
    <w:rsid w:val="00E464DC"/>
    <w:rsid w:val="00E52246"/>
    <w:rsid w:val="00E760E7"/>
    <w:rsid w:val="00E90802"/>
    <w:rsid w:val="00E94CE3"/>
    <w:rsid w:val="00EC7FCC"/>
    <w:rsid w:val="00F00B52"/>
    <w:rsid w:val="00F24735"/>
    <w:rsid w:val="00F2629C"/>
    <w:rsid w:val="00F66958"/>
    <w:rsid w:val="00F81791"/>
    <w:rsid w:val="00F87AA7"/>
    <w:rsid w:val="00F96FD9"/>
    <w:rsid w:val="00FB221F"/>
    <w:rsid w:val="00FC4A4F"/>
    <w:rsid w:val="00FD01FC"/>
    <w:rsid w:val="00FD42AE"/>
    <w:rsid w:val="00FD64FA"/>
    <w:rsid w:val="00FE3374"/>
    <w:rsid w:val="00FE3485"/>
    <w:rsid w:val="00FF362D"/>
    <w:rsid w:val="07AA637F"/>
    <w:rsid w:val="0B5A630E"/>
    <w:rsid w:val="16F14ABF"/>
    <w:rsid w:val="24420388"/>
    <w:rsid w:val="257007B0"/>
    <w:rsid w:val="2D687FBF"/>
    <w:rsid w:val="31DE0551"/>
    <w:rsid w:val="323808A8"/>
    <w:rsid w:val="35487054"/>
    <w:rsid w:val="35B446E9"/>
    <w:rsid w:val="36716D71"/>
    <w:rsid w:val="463158E2"/>
    <w:rsid w:val="4BAA6237"/>
    <w:rsid w:val="4FB66836"/>
    <w:rsid w:val="540F2477"/>
    <w:rsid w:val="60B63A56"/>
    <w:rsid w:val="651641C9"/>
    <w:rsid w:val="680227E3"/>
    <w:rsid w:val="78367C5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jc w:val="both"/>
    </w:pPr>
    <w:rPr>
      <w:rFonts w:ascii="Times New Roman" w:hAnsi="Times New Roman" w:eastAsia="宋体" w:cstheme="minorBidi"/>
      <w:kern w:val="2"/>
      <w:sz w:val="21"/>
      <w:szCs w:val="22"/>
      <w:lang w:val="en-US" w:eastAsia="zh-CN" w:bidi="ar-SA"/>
    </w:rPr>
  </w:style>
  <w:style w:type="paragraph" w:styleId="2">
    <w:name w:val="heading 1"/>
    <w:basedOn w:val="1"/>
    <w:next w:val="1"/>
    <w:link w:val="27"/>
    <w:qFormat/>
    <w:uiPriority w:val="9"/>
    <w:pPr>
      <w:keepNext/>
      <w:keepLines/>
      <w:jc w:val="center"/>
      <w:outlineLvl w:val="0"/>
    </w:pPr>
    <w:rPr>
      <w:rFonts w:cstheme="majorBidi"/>
      <w:b/>
      <w:sz w:val="28"/>
      <w:szCs w:val="48"/>
    </w:rPr>
  </w:style>
  <w:style w:type="paragraph" w:styleId="3">
    <w:name w:val="heading 2"/>
    <w:basedOn w:val="1"/>
    <w:next w:val="1"/>
    <w:link w:val="28"/>
    <w:unhideWhenUsed/>
    <w:qFormat/>
    <w:uiPriority w:val="9"/>
    <w:pPr>
      <w:keepNext/>
      <w:keepLines/>
      <w:jc w:val="center"/>
      <w:outlineLvl w:val="1"/>
    </w:pPr>
    <w:rPr>
      <w:rFonts w:cstheme="majorBidi"/>
      <w:b/>
      <w:color w:val="000000" w:themeColor="text1"/>
      <w:szCs w:val="40"/>
      <w14:textFill>
        <w14:solidFill>
          <w14:schemeClr w14:val="tx1"/>
        </w14:solidFill>
      </w14:textFill>
    </w:rPr>
  </w:style>
  <w:style w:type="paragraph" w:styleId="4">
    <w:name w:val="heading 3"/>
    <w:basedOn w:val="1"/>
    <w:next w:val="1"/>
    <w:link w:val="29"/>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30"/>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31"/>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32"/>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33"/>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4"/>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5"/>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3">
    <w:name w:val="Default Paragraph Font"/>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annotation text"/>
    <w:basedOn w:val="1"/>
    <w:link w:val="55"/>
    <w:semiHidden/>
    <w:unhideWhenUsed/>
    <w:qFormat/>
    <w:uiPriority w:val="99"/>
    <w:pPr>
      <w:jc w:val="left"/>
    </w:pPr>
  </w:style>
  <w:style w:type="paragraph" w:styleId="13">
    <w:name w:val="Date"/>
    <w:basedOn w:val="1"/>
    <w:next w:val="1"/>
    <w:link w:val="51"/>
    <w:semiHidden/>
    <w:unhideWhenUsed/>
    <w:qFormat/>
    <w:uiPriority w:val="99"/>
    <w:pPr>
      <w:ind w:left="100" w:leftChars="2500"/>
    </w:pPr>
  </w:style>
  <w:style w:type="paragraph" w:styleId="14">
    <w:name w:val="footer"/>
    <w:basedOn w:val="1"/>
    <w:link w:val="49"/>
    <w:unhideWhenUsed/>
    <w:qFormat/>
    <w:uiPriority w:val="99"/>
    <w:pPr>
      <w:tabs>
        <w:tab w:val="center" w:pos="4153"/>
        <w:tab w:val="right" w:pos="8306"/>
      </w:tabs>
      <w:spacing w:line="240" w:lineRule="auto"/>
      <w:jc w:val="left"/>
    </w:pPr>
    <w:rPr>
      <w:sz w:val="18"/>
      <w:szCs w:val="18"/>
    </w:rPr>
  </w:style>
  <w:style w:type="paragraph" w:styleId="15">
    <w:name w:val="header"/>
    <w:basedOn w:val="1"/>
    <w:link w:val="48"/>
    <w:unhideWhenUsed/>
    <w:qFormat/>
    <w:uiPriority w:val="99"/>
    <w:pPr>
      <w:tabs>
        <w:tab w:val="center" w:pos="4153"/>
        <w:tab w:val="right" w:pos="8306"/>
      </w:tabs>
      <w:spacing w:line="240" w:lineRule="auto"/>
      <w:jc w:val="center"/>
    </w:pPr>
    <w:rPr>
      <w:sz w:val="18"/>
      <w:szCs w:val="18"/>
    </w:rPr>
  </w:style>
  <w:style w:type="paragraph" w:styleId="16">
    <w:name w:val="toc 1"/>
    <w:basedOn w:val="1"/>
    <w:next w:val="1"/>
    <w:autoRedefine/>
    <w:unhideWhenUsed/>
    <w:qFormat/>
    <w:uiPriority w:val="39"/>
    <w:pPr>
      <w:tabs>
        <w:tab w:val="right" w:leader="dot" w:pos="8296"/>
      </w:tabs>
    </w:pPr>
  </w:style>
  <w:style w:type="paragraph" w:styleId="17">
    <w:name w:val="Subtitle"/>
    <w:basedOn w:val="1"/>
    <w:next w:val="1"/>
    <w:link w:val="37"/>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8">
    <w:name w:val="toc 2"/>
    <w:basedOn w:val="1"/>
    <w:next w:val="1"/>
    <w:autoRedefine/>
    <w:unhideWhenUsed/>
    <w:qFormat/>
    <w:uiPriority w:val="39"/>
    <w:pPr>
      <w:tabs>
        <w:tab w:val="right" w:leader="dot" w:pos="8296"/>
      </w:tabs>
    </w:pPr>
  </w:style>
  <w:style w:type="paragraph" w:styleId="19">
    <w:name w:val="Title"/>
    <w:basedOn w:val="1"/>
    <w:next w:val="1"/>
    <w:link w:val="36"/>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20">
    <w:name w:val="annotation subject"/>
    <w:basedOn w:val="12"/>
    <w:next w:val="12"/>
    <w:link w:val="56"/>
    <w:semiHidden/>
    <w:unhideWhenUsed/>
    <w:qFormat/>
    <w:uiPriority w:val="99"/>
    <w:rPr>
      <w:b/>
      <w:bCs/>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basedOn w:val="23"/>
    <w:semiHidden/>
    <w:unhideWhenUsed/>
    <w:qFormat/>
    <w:uiPriority w:val="99"/>
    <w:rPr>
      <w:color w:val="954F72" w:themeColor="followedHyperlink"/>
      <w:u w:val="single"/>
      <w14:textFill>
        <w14:solidFill>
          <w14:schemeClr w14:val="folHlink"/>
        </w14:solidFill>
      </w14:textFill>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basedOn w:val="23"/>
    <w:semiHidden/>
    <w:unhideWhenUsed/>
    <w:qFormat/>
    <w:uiPriority w:val="99"/>
    <w:rPr>
      <w:sz w:val="21"/>
      <w:szCs w:val="21"/>
    </w:rPr>
  </w:style>
  <w:style w:type="character" w:customStyle="1" w:styleId="27">
    <w:name w:val="标题 1 字符"/>
    <w:basedOn w:val="23"/>
    <w:link w:val="2"/>
    <w:qFormat/>
    <w:uiPriority w:val="9"/>
    <w:rPr>
      <w:rFonts w:ascii="Times New Roman" w:hAnsi="Times New Roman" w:eastAsia="宋体" w:cstheme="majorBidi"/>
      <w:b/>
      <w:sz w:val="28"/>
      <w:szCs w:val="48"/>
    </w:rPr>
  </w:style>
  <w:style w:type="character" w:customStyle="1" w:styleId="28">
    <w:name w:val="标题 2 字符"/>
    <w:basedOn w:val="23"/>
    <w:link w:val="3"/>
    <w:qFormat/>
    <w:uiPriority w:val="9"/>
    <w:rPr>
      <w:rFonts w:ascii="Times New Roman" w:hAnsi="Times New Roman" w:eastAsia="宋体" w:cstheme="majorBidi"/>
      <w:b/>
      <w:color w:val="000000" w:themeColor="text1"/>
      <w:szCs w:val="40"/>
      <w14:textFill>
        <w14:solidFill>
          <w14:schemeClr w14:val="tx1"/>
        </w14:solidFill>
      </w14:textFill>
    </w:rPr>
  </w:style>
  <w:style w:type="character" w:customStyle="1" w:styleId="29">
    <w:name w:val="标题 3 字符"/>
    <w:basedOn w:val="23"/>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30">
    <w:name w:val="标题 4 字符"/>
    <w:basedOn w:val="23"/>
    <w:link w:val="5"/>
    <w:semiHidden/>
    <w:qFormat/>
    <w:uiPriority w:val="9"/>
    <w:rPr>
      <w:rFonts w:cstheme="majorBidi"/>
      <w:color w:val="2F5597" w:themeColor="accent1" w:themeShade="BF"/>
      <w:sz w:val="28"/>
      <w:szCs w:val="28"/>
    </w:rPr>
  </w:style>
  <w:style w:type="character" w:customStyle="1" w:styleId="31">
    <w:name w:val="标题 5 字符"/>
    <w:basedOn w:val="23"/>
    <w:link w:val="6"/>
    <w:semiHidden/>
    <w:qFormat/>
    <w:uiPriority w:val="9"/>
    <w:rPr>
      <w:rFonts w:cstheme="majorBidi"/>
      <w:color w:val="2F5597" w:themeColor="accent1" w:themeShade="BF"/>
      <w:sz w:val="24"/>
      <w:szCs w:val="24"/>
    </w:rPr>
  </w:style>
  <w:style w:type="character" w:customStyle="1" w:styleId="32">
    <w:name w:val="标题 6 字符"/>
    <w:basedOn w:val="23"/>
    <w:link w:val="7"/>
    <w:semiHidden/>
    <w:qFormat/>
    <w:uiPriority w:val="9"/>
    <w:rPr>
      <w:rFonts w:cstheme="majorBidi"/>
      <w:b/>
      <w:bCs/>
      <w:color w:val="2F5597" w:themeColor="accent1" w:themeShade="BF"/>
    </w:rPr>
  </w:style>
  <w:style w:type="character" w:customStyle="1" w:styleId="33">
    <w:name w:val="标题 7 字符"/>
    <w:basedOn w:val="23"/>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4">
    <w:name w:val="标题 8 字符"/>
    <w:basedOn w:val="23"/>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5">
    <w:name w:val="标题 9 字符"/>
    <w:basedOn w:val="23"/>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6">
    <w:name w:val="标题 字符"/>
    <w:basedOn w:val="23"/>
    <w:link w:val="19"/>
    <w:qFormat/>
    <w:uiPriority w:val="10"/>
    <w:rPr>
      <w:rFonts w:asciiTheme="majorHAnsi" w:hAnsiTheme="majorHAnsi" w:eastAsiaTheme="majorEastAsia" w:cstheme="majorBidi"/>
      <w:spacing w:val="-10"/>
      <w:kern w:val="28"/>
      <w:sz w:val="56"/>
      <w:szCs w:val="56"/>
    </w:rPr>
  </w:style>
  <w:style w:type="character" w:customStyle="1" w:styleId="37">
    <w:name w:val="副标题 字符"/>
    <w:basedOn w:val="23"/>
    <w:link w:val="17"/>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8">
    <w:name w:val="Quote"/>
    <w:basedOn w:val="1"/>
    <w:next w:val="1"/>
    <w:link w:val="39"/>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9">
    <w:name w:val="引用 字符"/>
    <w:basedOn w:val="23"/>
    <w:link w:val="38"/>
    <w:qFormat/>
    <w:uiPriority w:val="29"/>
    <w:rPr>
      <w:i/>
      <w:iCs/>
      <w:color w:val="404040" w:themeColor="text1" w:themeTint="BF"/>
      <w14:textFill>
        <w14:solidFill>
          <w14:schemeClr w14:val="tx1">
            <w14:lumMod w14:val="75000"/>
            <w14:lumOff w14:val="25000"/>
          </w14:schemeClr>
        </w14:solidFill>
      </w14:textFill>
    </w:rPr>
  </w:style>
  <w:style w:type="paragraph" w:styleId="40">
    <w:name w:val="List Paragraph"/>
    <w:basedOn w:val="1"/>
    <w:qFormat/>
    <w:uiPriority w:val="34"/>
    <w:pPr>
      <w:ind w:left="720"/>
      <w:contextualSpacing/>
    </w:pPr>
  </w:style>
  <w:style w:type="character" w:customStyle="1" w:styleId="41">
    <w:name w:val="明显强调1"/>
    <w:basedOn w:val="23"/>
    <w:qFormat/>
    <w:uiPriority w:val="21"/>
    <w:rPr>
      <w:i/>
      <w:iCs/>
      <w:color w:val="2F5597" w:themeColor="accent1" w:themeShade="BF"/>
    </w:rPr>
  </w:style>
  <w:style w:type="paragraph" w:styleId="42">
    <w:name w:val="Intense Quote"/>
    <w:basedOn w:val="1"/>
    <w:next w:val="1"/>
    <w:link w:val="43"/>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43">
    <w:name w:val="明显引用 字符"/>
    <w:basedOn w:val="23"/>
    <w:link w:val="42"/>
    <w:qFormat/>
    <w:uiPriority w:val="30"/>
    <w:rPr>
      <w:i/>
      <w:iCs/>
      <w:color w:val="2F5597" w:themeColor="accent1" w:themeShade="BF"/>
    </w:rPr>
  </w:style>
  <w:style w:type="character" w:customStyle="1" w:styleId="44">
    <w:name w:val="明显参考1"/>
    <w:basedOn w:val="23"/>
    <w:qFormat/>
    <w:uiPriority w:val="32"/>
    <w:rPr>
      <w:b/>
      <w:bCs/>
      <w:smallCaps/>
      <w:color w:val="2F5597" w:themeColor="accent1" w:themeShade="BF"/>
      <w:spacing w:val="5"/>
    </w:rPr>
  </w:style>
  <w:style w:type="paragraph" w:customStyle="1" w:styleId="45">
    <w:name w:val="图表"/>
    <w:basedOn w:val="1"/>
    <w:link w:val="46"/>
    <w:qFormat/>
    <w:uiPriority w:val="0"/>
    <w:pPr>
      <w:spacing w:line="240" w:lineRule="auto"/>
      <w:jc w:val="center"/>
    </w:pPr>
    <w:rPr>
      <w:sz w:val="15"/>
    </w:rPr>
  </w:style>
  <w:style w:type="character" w:customStyle="1" w:styleId="46">
    <w:name w:val="图表 字符"/>
    <w:basedOn w:val="23"/>
    <w:link w:val="45"/>
    <w:qFormat/>
    <w:uiPriority w:val="0"/>
    <w:rPr>
      <w:rFonts w:ascii="Times New Roman" w:hAnsi="Times New Roman" w:eastAsia="宋体"/>
      <w:kern w:val="2"/>
      <w:sz w:val="15"/>
      <w:szCs w:val="22"/>
    </w:rPr>
  </w:style>
  <w:style w:type="paragraph" w:styleId="47">
    <w:name w:val="No Spacing"/>
    <w:qFormat/>
    <w:uiPriority w:val="1"/>
    <w:pPr>
      <w:widowControl w:val="0"/>
      <w:adjustRightInd w:val="0"/>
      <w:snapToGrid w:val="0"/>
      <w:spacing w:line="360" w:lineRule="auto"/>
      <w:jc w:val="center"/>
    </w:pPr>
    <w:rPr>
      <w:rFonts w:ascii="Times New Roman" w:hAnsi="Times New Roman" w:eastAsia="黑体" w:cstheme="minorBidi"/>
      <w:kern w:val="2"/>
      <w:sz w:val="28"/>
      <w:szCs w:val="22"/>
      <w:lang w:val="en-US" w:eastAsia="zh-CN" w:bidi="ar-SA"/>
    </w:rPr>
  </w:style>
  <w:style w:type="character" w:customStyle="1" w:styleId="48">
    <w:name w:val="页眉 字符"/>
    <w:basedOn w:val="23"/>
    <w:link w:val="15"/>
    <w:qFormat/>
    <w:uiPriority w:val="99"/>
    <w:rPr>
      <w:rFonts w:ascii="Times New Roman" w:hAnsi="Times New Roman" w:eastAsia="宋体"/>
      <w:sz w:val="18"/>
      <w:szCs w:val="18"/>
    </w:rPr>
  </w:style>
  <w:style w:type="character" w:customStyle="1" w:styleId="49">
    <w:name w:val="页脚 字符"/>
    <w:basedOn w:val="23"/>
    <w:link w:val="14"/>
    <w:qFormat/>
    <w:uiPriority w:val="99"/>
    <w:rPr>
      <w:rFonts w:ascii="Times New Roman" w:hAnsi="Times New Roman" w:eastAsia="宋体"/>
      <w:sz w:val="18"/>
      <w:szCs w:val="18"/>
    </w:rPr>
  </w:style>
  <w:style w:type="paragraph" w:customStyle="1" w:styleId="50">
    <w:name w:val="修订1"/>
    <w:hidden/>
    <w:semiHidden/>
    <w:qFormat/>
    <w:uiPriority w:val="99"/>
    <w:rPr>
      <w:rFonts w:ascii="Times New Roman" w:hAnsi="Times New Roman" w:eastAsia="宋体" w:cstheme="minorBidi"/>
      <w:kern w:val="2"/>
      <w:sz w:val="21"/>
      <w:szCs w:val="22"/>
      <w:lang w:val="en-US" w:eastAsia="zh-CN" w:bidi="ar-SA"/>
    </w:rPr>
  </w:style>
  <w:style w:type="character" w:customStyle="1" w:styleId="51">
    <w:name w:val="日期 字符"/>
    <w:basedOn w:val="23"/>
    <w:link w:val="13"/>
    <w:semiHidden/>
    <w:qFormat/>
    <w:uiPriority w:val="99"/>
    <w:rPr>
      <w:rFonts w:ascii="Times New Roman" w:hAnsi="Times New Roman" w:eastAsia="宋体"/>
    </w:rPr>
  </w:style>
  <w:style w:type="paragraph" w:customStyle="1" w:styleId="52">
    <w:name w:val="正文副"/>
    <w:basedOn w:val="1"/>
    <w:link w:val="53"/>
    <w:qFormat/>
    <w:uiPriority w:val="0"/>
    <w:pPr>
      <w:ind w:firstLine="200" w:firstLineChars="200"/>
    </w:pPr>
  </w:style>
  <w:style w:type="character" w:customStyle="1" w:styleId="53">
    <w:name w:val="正文副 字符"/>
    <w:basedOn w:val="23"/>
    <w:link w:val="52"/>
    <w:qFormat/>
    <w:uiPriority w:val="0"/>
    <w:rPr>
      <w:rFonts w:ascii="Times New Roman" w:hAnsi="Times New Roman" w:eastAsia="宋体"/>
    </w:rPr>
  </w:style>
  <w:style w:type="paragraph" w:customStyle="1" w:styleId="54">
    <w:name w:val="修订2"/>
    <w:hidden/>
    <w:unhideWhenUsed/>
    <w:qFormat/>
    <w:uiPriority w:val="99"/>
    <w:rPr>
      <w:rFonts w:ascii="Times New Roman" w:hAnsi="Times New Roman" w:eastAsia="宋体" w:cstheme="minorBidi"/>
      <w:kern w:val="2"/>
      <w:sz w:val="21"/>
      <w:szCs w:val="22"/>
      <w:lang w:val="en-US" w:eastAsia="zh-CN" w:bidi="ar-SA"/>
    </w:rPr>
  </w:style>
  <w:style w:type="character" w:customStyle="1" w:styleId="55">
    <w:name w:val="批注文字 字符"/>
    <w:basedOn w:val="23"/>
    <w:link w:val="12"/>
    <w:semiHidden/>
    <w:qFormat/>
    <w:uiPriority w:val="99"/>
    <w:rPr>
      <w:rFonts w:ascii="Times New Roman" w:hAnsi="Times New Roman" w:eastAsia="宋体"/>
      <w:kern w:val="2"/>
      <w:sz w:val="21"/>
      <w:szCs w:val="22"/>
    </w:rPr>
  </w:style>
  <w:style w:type="character" w:customStyle="1" w:styleId="56">
    <w:name w:val="批注主题 字符"/>
    <w:basedOn w:val="55"/>
    <w:link w:val="20"/>
    <w:semiHidden/>
    <w:qFormat/>
    <w:uiPriority w:val="99"/>
    <w:rPr>
      <w:rFonts w:ascii="Times New Roman" w:hAnsi="Times New Roman" w:eastAsia="宋体"/>
      <w:b/>
      <w:bCs/>
      <w:kern w:val="2"/>
      <w:sz w:val="21"/>
      <w:szCs w:val="22"/>
    </w:rPr>
  </w:style>
  <w:style w:type="paragraph" w:customStyle="1" w:styleId="57">
    <w:name w:val="条文说明："/>
    <w:basedOn w:val="1"/>
    <w:link w:val="58"/>
    <w:qFormat/>
    <w:uiPriority w:val="0"/>
    <w:rPr>
      <w:i/>
      <w:color w:val="000000"/>
      <w:u w:val="single"/>
    </w:rPr>
  </w:style>
  <w:style w:type="character" w:customStyle="1" w:styleId="58">
    <w:name w:val="条文说明： 字符"/>
    <w:basedOn w:val="23"/>
    <w:link w:val="57"/>
    <w:qFormat/>
    <w:uiPriority w:val="0"/>
    <w:rPr>
      <w:rFonts w:ascii="Times New Roman" w:hAnsi="Times New Roman" w:eastAsia="宋体"/>
      <w:i/>
      <w:color w:val="000000"/>
      <w:kern w:val="2"/>
      <w:sz w:val="21"/>
      <w:szCs w:val="22"/>
      <w:u w:val="single"/>
    </w:rPr>
  </w:style>
  <w:style w:type="paragraph" w:customStyle="1" w:styleId="59">
    <w:name w:val="TOC 标题1"/>
    <w:basedOn w:val="2"/>
    <w:next w:val="1"/>
    <w:unhideWhenUsed/>
    <w:qFormat/>
    <w:uiPriority w:val="39"/>
    <w:pPr>
      <w:widowControl/>
      <w:adjustRightInd/>
      <w:snapToGrid/>
      <w:spacing w:before="240" w:line="259" w:lineRule="auto"/>
      <w:jc w:val="left"/>
      <w:outlineLvl w:val="9"/>
    </w:pPr>
    <w:rPr>
      <w:rFonts w:asciiTheme="majorHAnsi" w:hAnsiTheme="majorHAnsi" w:eastAsiaTheme="majorEastAsia"/>
      <w:b w:val="0"/>
      <w:color w:val="2F5597" w:themeColor="accent1" w:themeShade="BF"/>
      <w:kern w:val="0"/>
      <w:sz w:val="32"/>
      <w:szCs w:val="32"/>
    </w:rPr>
  </w:style>
  <w:style w:type="character" w:customStyle="1" w:styleId="60">
    <w:name w:val="未处理的提及1"/>
    <w:basedOn w:val="23"/>
    <w:semiHidden/>
    <w:unhideWhenUsed/>
    <w:qFormat/>
    <w:uiPriority w:val="99"/>
    <w:rPr>
      <w:color w:val="605E5C"/>
      <w:shd w:val="clear" w:color="auto" w:fill="E1DFDD"/>
    </w:rPr>
  </w:style>
  <w:style w:type="character" w:customStyle="1" w:styleId="61">
    <w:name w:val="Unresolved Mention"/>
    <w:basedOn w:val="2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D0389B-8054-46D5-8328-93EE8D39092C}">
  <ds:schemaRefs/>
</ds:datastoreItem>
</file>

<file path=docProps/app.xml><?xml version="1.0" encoding="utf-8"?>
<Properties xmlns="http://schemas.openxmlformats.org/officeDocument/2006/extended-properties" xmlns:vt="http://schemas.openxmlformats.org/officeDocument/2006/docPropsVTypes">
  <Template>Normal</Template>
  <Pages>21</Pages>
  <Words>8607</Words>
  <Characters>10305</Characters>
  <Lines>349</Lines>
  <Paragraphs>356</Paragraphs>
  <TotalTime>189</TotalTime>
  <ScaleCrop>false</ScaleCrop>
  <LinksUpToDate>false</LinksUpToDate>
  <CharactersWithSpaces>10918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2026-02-04T06:58:00Z</dcterms:created>
  <dc:creator>春春 张</dc:creator>
  <cp:lastModifiedBy>萧瑶</cp:lastModifiedBy>
  <cp:lastPrinted>2025-12-16T08:32:00Z</cp:lastPrinted>
  <dcterms:modified xsi:type="dcterms:W3CDTF">2026-02-09T07:33:43Z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eyJoZGlkIjoiYWI2YmU5NmJmNzhhNmFhOWZiMmZkMDBmZjJjZTA0MTYiLCJ1c2VySWQiOiI4NzM2NTI5MjEifQ==</vt:lpwstr>
  </property>
  <property fmtid="{D5CDD505-2E9C-101B-9397-08002B2CF9AE}" pid="3" name="KSOProductBuildVer">
    <vt:lpwstr>2052-12.1.0.25225</vt:lpwstr>
  </property>
  <property fmtid="{D5CDD505-2E9C-101B-9397-08002B2CF9AE}" pid="4" name="ICV">
    <vt:lpwstr>2B8BEC01A58E4BD6902F2A0871496B1B_13</vt:lpwstr>
  </property>
</Properties>
</file>