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600" w:lineRule="exact"/>
        <w:rPr>
          <w:rFonts w:hint="eastAsia"/>
        </w:rPr>
      </w:pPr>
    </w:p>
    <w:p>
      <w:pPr>
        <w:spacing w:line="600" w:lineRule="exact"/>
        <w:jc w:val="center"/>
        <w:rPr>
          <w:rFonts w:hint="eastAsia" w:ascii="方正小标宋_GBK" w:hAnsi="华文中宋"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_GBK" w:hAnsi="华文中宋" w:eastAsia="方正小标宋_GBK"/>
          <w:sz w:val="44"/>
          <w:szCs w:val="44"/>
        </w:rPr>
      </w:pPr>
      <w:r>
        <w:rPr>
          <w:rFonts w:hint="eastAsia" w:ascii="方正小标宋_GBK" w:hAnsi="华文中宋" w:eastAsia="方正小标宋_GBK"/>
          <w:sz w:val="44"/>
          <w:szCs w:val="44"/>
        </w:rPr>
        <w:t>重庆市国土房管局关于</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_GBK" w:hAnsi="华文中宋" w:eastAsia="方正小标宋_GBK"/>
          <w:sz w:val="44"/>
          <w:szCs w:val="44"/>
        </w:rPr>
      </w:pPr>
      <w:r>
        <w:rPr>
          <w:rFonts w:hint="eastAsia" w:ascii="方正小标宋_GBK" w:hAnsi="华文中宋" w:eastAsia="方正小标宋_GBK"/>
          <w:sz w:val="44"/>
          <w:szCs w:val="44"/>
        </w:rPr>
        <w:t>加强和规范商品房预售资金管理的通知</w:t>
      </w:r>
    </w:p>
    <w:p>
      <w:pPr>
        <w:spacing w:line="600" w:lineRule="exact"/>
        <w:jc w:val="center"/>
        <w:rPr>
          <w:rFonts w:hint="eastAsia" w:ascii="方正楷体_GBK" w:hAnsi="方正楷体_GBK" w:eastAsia="方正楷体_GBK" w:cs="方正楷体_GBK"/>
          <w:color w:val="000000"/>
        </w:rPr>
      </w:pPr>
      <w:r>
        <w:rPr>
          <w:rFonts w:hint="eastAsia" w:ascii="方正楷体_GBK" w:hAnsi="方正楷体_GBK" w:eastAsia="方正楷体_GBK" w:cs="方正楷体_GBK"/>
          <w:color w:val="000000"/>
        </w:rPr>
        <w:t>渝国土房管〔2014〕101号</w:t>
      </w:r>
    </w:p>
    <w:p>
      <w:pPr>
        <w:spacing w:line="600" w:lineRule="exact"/>
        <w:rPr>
          <w:rFonts w:hint="eastAsia"/>
          <w:szCs w:val="32"/>
        </w:rPr>
      </w:pPr>
    </w:p>
    <w:p>
      <w:pPr>
        <w:keepNext w:val="0"/>
        <w:keepLines w:val="0"/>
        <w:pageBreakBefore w:val="0"/>
        <w:widowControl w:val="0"/>
        <w:kinsoku/>
        <w:wordWrap/>
        <w:overflowPunct/>
        <w:topLinePunct w:val="0"/>
        <w:autoSpaceDE/>
        <w:autoSpaceDN/>
        <w:bidi w:val="0"/>
        <w:spacing w:line="540" w:lineRule="exact"/>
        <w:textAlignment w:val="auto"/>
        <w:rPr>
          <w:rFonts w:hint="eastAsia" w:eastAsia="方正仿宋_GBK"/>
          <w:szCs w:val="32"/>
        </w:rPr>
      </w:pPr>
      <w:r>
        <w:rPr>
          <w:rFonts w:hint="eastAsia" w:eastAsia="方正仿宋_GBK"/>
          <w:szCs w:val="32"/>
        </w:rPr>
        <w:t>各区县（自治县）国土房管局、房管局，主城区各土地房屋权属登记中心，各相关单位：</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仿宋_GBK"/>
          <w:szCs w:val="32"/>
        </w:rPr>
        <w:t>为贯彻执行市政府办公厅《关于进一步加强和规范商品房预售资金管理的通知》（渝府办发〔2013〕169号），规范商品房预售资金收存、使用等行为，强化商品房预售资金管理，现就有关事项通知如下：</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黑体_GBK"/>
          <w:szCs w:val="32"/>
        </w:rPr>
      </w:pPr>
      <w:r>
        <w:rPr>
          <w:rFonts w:hint="eastAsia" w:eastAsia="方正黑体_GBK"/>
          <w:szCs w:val="32"/>
        </w:rPr>
        <w:t>一、严格执行商品房预售资金监管开户银行和账户设立标准</w:t>
      </w:r>
      <w:bookmarkStart w:id="0" w:name="_GoBack"/>
      <w:bookmarkEnd w:id="0"/>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（一）严格预售资金监管银行选择标准。</w:t>
      </w:r>
      <w:r>
        <w:rPr>
          <w:rFonts w:hint="eastAsia" w:eastAsia="方正仿宋_GBK"/>
          <w:szCs w:val="32"/>
        </w:rPr>
        <w:t>从事商品房预售资金监管的商业银行应为支行级以上的银行，且为该商品房项目的按揭银行，达到房地产管理部门所要求的将预售资金账户管理信息与房地产管理部门联网的各项规定和技术条件，实时为房地产管理部门提供预售资金账户信息。承诺严格按照我市商品房预售资金管理的要求履行监管职责，承担相应义务。在项目销售过程中，除因房地产管理部门禁止其从事预售资金监管业务外，监管银行不得变更。</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（二）规范预售资金监管账户设立数量。</w:t>
      </w:r>
      <w:r>
        <w:rPr>
          <w:rFonts w:hint="eastAsia" w:eastAsia="方正仿宋_GBK"/>
          <w:szCs w:val="32"/>
        </w:rPr>
        <w:t>同一项目（以建设工程规划许可证批准项目名称为准）建设总规模在10万平方米以下的，只能设立一个监管账户。项目建设总规模在10万平方米（含）以上的，可以设立不超过三个监管账户。项目建设总规模以土地出让合同约定的总建设规模为准。土地属划拨的，以建设工程规划许证可批准的该项目建设总规模为准。</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仿宋_GBK"/>
          <w:szCs w:val="32"/>
        </w:rPr>
        <w:t>一个预售许可证，只能设立一个预售资金监管账户。</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（三）统一预售资金监管账户设立名称。</w:t>
      </w:r>
      <w:r>
        <w:rPr>
          <w:rFonts w:hint="eastAsia" w:eastAsia="方正仿宋_GBK"/>
          <w:szCs w:val="32"/>
        </w:rPr>
        <w:t>在办理商品房预售许可证前，房地产开发企业应在符合条件的商业银行开设商品房预售资金监管账户，账户名称统一设立为“</w:t>
      </w:r>
      <w:r>
        <w:rPr>
          <w:rFonts w:hint="eastAsia" w:eastAsia="方正仿宋_GBK"/>
          <w:szCs w:val="32"/>
          <w:u w:val="single"/>
        </w:rPr>
        <w:t xml:space="preserve">          </w:t>
      </w:r>
      <w:r>
        <w:rPr>
          <w:rFonts w:hint="eastAsia" w:eastAsia="方正仿宋_GBK"/>
          <w:szCs w:val="32"/>
        </w:rPr>
        <w:t>（填房地产开发企业名称）</w:t>
      </w:r>
      <w:r>
        <w:rPr>
          <w:rFonts w:hint="eastAsia" w:eastAsia="方正仿宋_GBK"/>
          <w:szCs w:val="32"/>
          <w:u w:val="single"/>
        </w:rPr>
        <w:t xml:space="preserve">      </w:t>
      </w:r>
      <w:r>
        <w:rPr>
          <w:rFonts w:hint="eastAsia" w:eastAsia="方正仿宋_GBK"/>
          <w:szCs w:val="32"/>
        </w:rPr>
        <w:t>项目商品房预售资金监管账户”。项目预售资金账户提供该账户对应所有预售许可批准销售楼栋的商品房预售资金总的进账、使用、余额情况。</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（四）以预售许可证为单位设立监管子账户。</w:t>
      </w:r>
      <w:r>
        <w:rPr>
          <w:rFonts w:hint="eastAsia" w:eastAsia="方正仿宋_GBK"/>
          <w:szCs w:val="32"/>
        </w:rPr>
        <w:t>房地产开发企业在取得预售许可后，应以一个预售许可证为单位，在预售许可证载明的预售资金监管账户下设立预售资金子账户。子账户开立后，预售资金监管银行向开发企业出具开立子账户证明，子账户证明应说明对应的预售许可证号。房地产企业应将子账户证明交由房地产交易监管部门。房地产交易监管部门在将子账号信息录入预售资金监管系统，并与监管银行相互验证通过后，开通该预售许可楼栋的网上签约系统。预售资金子账户对应每一个预售许可证批准销售楼栋的预售资金的进账、使用、余额情况。</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（五）加强预售资金监管银行前期审查。</w:t>
      </w:r>
      <w:r>
        <w:rPr>
          <w:rFonts w:hint="eastAsia" w:eastAsia="方正仿宋_GBK"/>
          <w:szCs w:val="32"/>
        </w:rPr>
        <w:t>房地产交易监管部门应加强对预售方案中“项目预售资金监管银行和监管账户情况”的审查核实，严格执行开户银行和账户设立的规定标准，同时审查预售资金监管协议中关于预售资金监管账号设立内容与预售方案内容是否一致，对不符合规定的不予备案。备案后的《商品房预售方案》一式四份，一份用于办理商品房预售许可，一份提交建设管理部门，房地产管理部门存档一份，开发企业自留一份。</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仿宋_GBK"/>
          <w:szCs w:val="32"/>
        </w:rPr>
        <w:t>商品房预售方案备案管理和预售许可管理为同一部门的，应将商品房预售方案备案管理一并纳入预售许可审批环节审查办理。</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黑体_GBK"/>
          <w:szCs w:val="32"/>
        </w:rPr>
      </w:pPr>
      <w:r>
        <w:rPr>
          <w:rFonts w:hint="eastAsia" w:eastAsia="方正黑体_GBK"/>
          <w:szCs w:val="32"/>
        </w:rPr>
        <w:t>二、规范商品房预售资金收存行为，确保购房款全额进入监管账户</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（一）规范商品房预售资金收存行为。</w:t>
      </w:r>
      <w:r>
        <w:rPr>
          <w:rFonts w:hint="eastAsia" w:eastAsia="方正仿宋_GBK"/>
          <w:szCs w:val="32"/>
        </w:rPr>
        <w:t>房地产开发企业应在与购房人签订购房合同、收取购房款的当日，将按揭购房首付款或一次性付款等购房人已支付的购房款全额存入预售资金监管账户，并向预售资金监管银行提供对应的子账号信息和购房人明细，预售资金监管银行应即时将该笔款项调整到对应子账号中。</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（二）建立购房款按栋、按套管理台账。</w:t>
      </w:r>
      <w:r>
        <w:rPr>
          <w:rFonts w:hint="eastAsia" w:eastAsia="方正仿宋_GBK"/>
          <w:szCs w:val="32"/>
        </w:rPr>
        <w:t>房地产交易监管部门应以楼盘表编制的栋为单位，根据楼盘表的网签成交信息、合同约定的购房款支付信息，实时掌握该栋房屋已销售房号和应进入监管账户的购房款金额，并按栋、按套建立购房款明细管理台账。</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楷体_GBK"/>
          <w:szCs w:val="32"/>
        </w:rPr>
        <w:t>（三）加强合同登记备案环节购房款入账情况审查。</w:t>
      </w:r>
      <w:r>
        <w:rPr>
          <w:rFonts w:hint="eastAsia" w:eastAsia="方正仿宋_GBK"/>
          <w:szCs w:val="32"/>
        </w:rPr>
        <w:t>在办理商品房买卖合同登记备案时，开发企业和预售资金监管银行应按栋、按套提供已销售房屋的《商品房预售资金入账证明》（见附件）。</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仿宋_GBK"/>
          <w:szCs w:val="32"/>
        </w:rPr>
        <w:t>合同登记备案管理部门和预售资金监管部门应密切配合，建立工作协作机制，加强对购房款的入账检查和管理。</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黑体_GBK"/>
          <w:szCs w:val="32"/>
        </w:rPr>
      </w:pPr>
      <w:r>
        <w:rPr>
          <w:rFonts w:hint="eastAsia" w:eastAsia="方正黑体_GBK"/>
          <w:szCs w:val="32"/>
        </w:rPr>
        <w:t>三、加强对预售资金运行情况的监督检查，及时查处违法违规行为</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仿宋_GBK"/>
          <w:szCs w:val="32"/>
        </w:rPr>
        <w:t>主城区各土地房屋权属登记中心、远郊区县房地产管理部门应切实履行职责，确定专门部门和人员负责商品房预售资金监管的具体工作，应与当地建设、金融管理部门密切协作，建立工作联系机制，及时掌握监管账户购房款入账、支取和余额情况，共同加强对预售资金运行情况的监督检查。对房地产开发企业、预售资金监管银行违反相关规定的，应会同相关部门依法查处。房地产开发企业未按规定收存预售资金的，责令其限期改正，暂停办理该开发企业的预售许可及其他交易、权属登记手续；预售资金监管银行未按照规定和承诺履行监管职责的，房地产管理部门可禁止其从事预售资金监管业务。</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仿宋_GBK"/>
          <w:szCs w:val="32"/>
        </w:rPr>
        <w:t>各级房地产管理部门应加强信息化建设，实现预售资金的信息化管理，并与预售资金监管银行实行联网管理。</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黑体_GBK"/>
          <w:szCs w:val="32"/>
        </w:rPr>
      </w:pPr>
      <w:r>
        <w:rPr>
          <w:rFonts w:hint="eastAsia" w:eastAsia="方正黑体_GBK"/>
          <w:szCs w:val="32"/>
        </w:rPr>
        <w:t>四、本通知从2014年3月1日起执行，新办预售许可的项目均应按本通知要求执行。</w:t>
      </w: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adjustRightInd w:val="0"/>
        <w:spacing w:line="540" w:lineRule="exact"/>
        <w:ind w:firstLine="630" w:firstLineChars="197"/>
        <w:textAlignment w:val="auto"/>
        <w:rPr>
          <w:rFonts w:hint="eastAsia" w:eastAsia="方正仿宋_GBK"/>
          <w:szCs w:val="32"/>
        </w:rPr>
      </w:pPr>
      <w:r>
        <w:rPr>
          <w:rFonts w:hint="eastAsia" w:eastAsia="方正仿宋_GBK"/>
          <w:szCs w:val="32"/>
        </w:rPr>
        <w:t>附件：《商品房预售资金入账证明》</w:t>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snapToGrid/>
        <w:spacing w:line="540" w:lineRule="exact"/>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snapToGrid/>
        <w:spacing w:line="540" w:lineRule="exact"/>
        <w:ind w:right="1280" w:rightChars="400"/>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snapToGrid/>
        <w:spacing w:line="540" w:lineRule="exact"/>
        <w:ind w:right="1280" w:rightChars="400"/>
        <w:jc w:val="right"/>
        <w:textAlignment w:val="auto"/>
        <w:rPr>
          <w:rFonts w:hint="eastAsia" w:eastAsia="方正仿宋_GBK"/>
          <w:szCs w:val="32"/>
        </w:rPr>
      </w:pPr>
      <w:r>
        <w:rPr>
          <w:rFonts w:hint="eastAsia" w:eastAsia="方正仿宋_GBK"/>
          <w:szCs w:val="32"/>
        </w:rPr>
        <w:t>重庆市国土房管局</w:t>
      </w:r>
    </w:p>
    <w:p>
      <w:pPr>
        <w:keepNext w:val="0"/>
        <w:keepLines w:val="0"/>
        <w:pageBreakBefore w:val="0"/>
        <w:widowControl w:val="0"/>
        <w:kinsoku/>
        <w:wordWrap/>
        <w:overflowPunct/>
        <w:topLinePunct w:val="0"/>
        <w:autoSpaceDE/>
        <w:autoSpaceDN/>
        <w:bidi w:val="0"/>
        <w:snapToGrid/>
        <w:spacing w:line="540" w:lineRule="exact"/>
        <w:ind w:right="1280" w:rightChars="400"/>
        <w:jc w:val="right"/>
        <w:textAlignment w:val="auto"/>
        <w:rPr>
          <w:rFonts w:hint="eastAsia" w:eastAsia="方正仿宋_GBK"/>
          <w:szCs w:val="32"/>
        </w:rPr>
      </w:pPr>
      <w:r>
        <w:rPr>
          <w:rFonts w:hint="eastAsia" w:eastAsia="方正仿宋_GBK"/>
          <w:szCs w:val="32"/>
        </w:rPr>
        <w:t>2014年2月8日</w:t>
      </w:r>
    </w:p>
    <w:p>
      <w:pPr>
        <w:keepNext w:val="0"/>
        <w:keepLines w:val="0"/>
        <w:pageBreakBefore w:val="0"/>
        <w:widowControl w:val="0"/>
        <w:kinsoku/>
        <w:wordWrap/>
        <w:overflowPunct/>
        <w:topLinePunct w:val="0"/>
        <w:autoSpaceDE/>
        <w:autoSpaceDN/>
        <w:bidi w:val="0"/>
        <w:snapToGrid/>
        <w:spacing w:line="540" w:lineRule="exact"/>
        <w:ind w:right="1280" w:rightChars="400"/>
        <w:textAlignment w:val="auto"/>
        <w:rPr>
          <w:rFonts w:hint="eastAsia" w:eastAsia="方正仿宋_GBK"/>
          <w:szCs w:val="32"/>
        </w:rPr>
      </w:pPr>
    </w:p>
    <w:p>
      <w:pPr>
        <w:snapToGrid/>
        <w:spacing w:line="600" w:lineRule="exact"/>
        <w:ind w:right="1280" w:rightChars="400"/>
        <w:rPr>
          <w:rFonts w:hint="eastAsia" w:eastAsia="方正仿宋_GBK"/>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方正黑体_GBK" w:eastAsia="方正黑体_GBK"/>
          <w:szCs w:val="32"/>
        </w:rPr>
      </w:pPr>
    </w:p>
    <w:p>
      <w:pPr>
        <w:rPr>
          <w:rFonts w:hint="eastAsia" w:ascii="方正黑体_GBK" w:hAnsi="华文中宋" w:eastAsia="方正黑体_GBK"/>
          <w:sz w:val="36"/>
          <w:szCs w:val="36"/>
          <w:u w:val="single"/>
        </w:rPr>
      </w:pPr>
      <w:r>
        <w:rPr>
          <w:rFonts w:hint="eastAsia" w:ascii="方正黑体_GBK" w:eastAsia="方正黑体_GBK"/>
          <w:szCs w:val="32"/>
        </w:rPr>
        <w:t>附件</w:t>
      </w:r>
    </w:p>
    <w:p>
      <w:pPr>
        <w:jc w:val="center"/>
        <w:rPr>
          <w:rFonts w:hint="eastAsia" w:ascii="方正小标宋_GBK" w:hAnsi="华文中宋" w:eastAsia="方正小标宋_GBK"/>
          <w:sz w:val="36"/>
          <w:szCs w:val="36"/>
        </w:rPr>
      </w:pPr>
      <w:r>
        <w:rPr>
          <w:rFonts w:hint="eastAsia" w:ascii="方正小标宋_GBK" w:hAnsi="华文中宋" w:eastAsia="方正小标宋_GBK"/>
          <w:sz w:val="36"/>
          <w:szCs w:val="36"/>
        </w:rPr>
        <w:t>商品房预售资金入账证明</w:t>
      </w:r>
    </w:p>
    <w:p>
      <w:pPr>
        <w:jc w:val="center"/>
        <w:rPr>
          <w:rFonts w:hint="eastAsia" w:ascii="华文中宋" w:hAnsi="华文中宋" w:eastAsia="华文中宋"/>
          <w:sz w:val="36"/>
          <w:szCs w:val="36"/>
        </w:rPr>
      </w:pPr>
    </w:p>
    <w:p>
      <w:pPr>
        <w:spacing w:line="600" w:lineRule="exact"/>
        <w:rPr>
          <w:rFonts w:hint="eastAsia" w:eastAsia="方正仿宋_GBK"/>
          <w:szCs w:val="32"/>
        </w:rPr>
      </w:pPr>
      <w:r>
        <w:rPr>
          <w:rFonts w:hint="eastAsia" w:eastAsia="方正仿宋_GBK"/>
          <w:szCs w:val="32"/>
          <w:u w:val="single"/>
        </w:rPr>
        <w:t xml:space="preserve">                    </w:t>
      </w:r>
      <w:r>
        <w:rPr>
          <w:rFonts w:hint="eastAsia" w:eastAsia="方正仿宋_GBK"/>
          <w:szCs w:val="32"/>
        </w:rPr>
        <w:t>：</w:t>
      </w:r>
    </w:p>
    <w:p>
      <w:pPr>
        <w:spacing w:line="600" w:lineRule="exact"/>
        <w:ind w:firstLine="640" w:firstLineChars="200"/>
        <w:jc w:val="distribute"/>
        <w:rPr>
          <w:rFonts w:hint="eastAsia" w:eastAsia="方正仿宋_GBK"/>
          <w:szCs w:val="32"/>
        </w:rPr>
      </w:pPr>
      <w:r>
        <w:rPr>
          <w:rFonts w:hint="eastAsia" w:eastAsia="方正仿宋_GBK"/>
          <w:szCs w:val="32"/>
        </w:rPr>
        <w:t>兹证明</w:t>
      </w:r>
      <w:r>
        <w:rPr>
          <w:rFonts w:hint="eastAsia" w:eastAsia="方正仿宋_GBK"/>
          <w:szCs w:val="32"/>
          <w:u w:val="single"/>
        </w:rPr>
        <w:t xml:space="preserve">                      </w:t>
      </w:r>
      <w:r>
        <w:rPr>
          <w:rFonts w:hint="eastAsia" w:eastAsia="方正仿宋_GBK"/>
          <w:szCs w:val="32"/>
        </w:rPr>
        <w:t>单位开发建设的</w:t>
      </w:r>
    </w:p>
    <w:p>
      <w:pPr>
        <w:spacing w:line="600" w:lineRule="exact"/>
        <w:jc w:val="distribute"/>
        <w:rPr>
          <w:rFonts w:hint="eastAsia" w:eastAsia="方正仿宋_GBK"/>
          <w:szCs w:val="32"/>
        </w:rPr>
      </w:pPr>
      <w:r>
        <w:rPr>
          <w:rFonts w:hint="eastAsia" w:eastAsia="方正仿宋_GBK"/>
          <w:szCs w:val="32"/>
          <w:u w:val="single"/>
        </w:rPr>
        <w:t xml:space="preserve">          </w:t>
      </w:r>
      <w:r>
        <w:rPr>
          <w:rFonts w:hint="eastAsia" w:eastAsia="方正仿宋_GBK"/>
          <w:szCs w:val="32"/>
        </w:rPr>
        <w:t>项目，经渝国土房管（    ）预字第</w:t>
      </w:r>
      <w:r>
        <w:rPr>
          <w:rFonts w:hint="eastAsia" w:eastAsia="方正仿宋_GBK"/>
          <w:szCs w:val="32"/>
          <w:u w:val="single"/>
        </w:rPr>
        <w:t xml:space="preserve">     </w:t>
      </w:r>
      <w:r>
        <w:rPr>
          <w:rFonts w:hint="eastAsia" w:eastAsia="方正仿宋_GBK"/>
          <w:szCs w:val="32"/>
        </w:rPr>
        <w:t>号预售许可证批准销售，并在</w:t>
      </w:r>
      <w:r>
        <w:rPr>
          <w:rFonts w:hint="eastAsia" w:eastAsia="方正仿宋_GBK"/>
          <w:szCs w:val="32"/>
          <w:u w:val="single"/>
        </w:rPr>
        <w:t xml:space="preserve">                          </w:t>
      </w:r>
      <w:r>
        <w:rPr>
          <w:rFonts w:hint="eastAsia" w:eastAsia="方正仿宋_GBK"/>
          <w:szCs w:val="32"/>
        </w:rPr>
        <w:t>银行开立预售资金监管子账号：</w:t>
      </w:r>
      <w:r>
        <w:rPr>
          <w:rFonts w:hint="eastAsia" w:eastAsia="方正仿宋_GBK"/>
          <w:szCs w:val="32"/>
          <w:u w:val="single"/>
        </w:rPr>
        <w:t xml:space="preserve">                      </w:t>
      </w:r>
      <w:r>
        <w:rPr>
          <w:rFonts w:hint="eastAsia" w:eastAsia="方正仿宋_GBK"/>
          <w:szCs w:val="32"/>
        </w:rPr>
        <w:t>。本次</w:t>
      </w:r>
    </w:p>
    <w:p>
      <w:pPr>
        <w:spacing w:line="600" w:lineRule="exact"/>
        <w:rPr>
          <w:rFonts w:hint="eastAsia" w:eastAsia="方正仿宋_GBK"/>
          <w:szCs w:val="32"/>
        </w:rPr>
      </w:pPr>
      <w:r>
        <w:rPr>
          <w:rFonts w:hint="eastAsia" w:eastAsia="方正仿宋_GBK"/>
          <w:spacing w:val="16"/>
          <w:kern w:val="0"/>
          <w:szCs w:val="32"/>
          <w:fitText w:val="8800" w:id="1291849111"/>
        </w:rPr>
        <w:t>申办该预售许可证下的商品房买卖合同登记备案的房屋共</w:t>
      </w:r>
    </w:p>
    <w:p>
      <w:pPr>
        <w:spacing w:line="600" w:lineRule="exact"/>
        <w:jc w:val="distribute"/>
        <w:rPr>
          <w:rFonts w:hint="eastAsia" w:eastAsia="方正仿宋_GBK"/>
          <w:szCs w:val="32"/>
        </w:rPr>
      </w:pPr>
      <w:r>
        <w:rPr>
          <w:rFonts w:hint="eastAsia" w:eastAsia="方正仿宋_GBK"/>
          <w:szCs w:val="32"/>
          <w:u w:val="single"/>
        </w:rPr>
        <w:t xml:space="preserve">      </w:t>
      </w:r>
      <w:r>
        <w:rPr>
          <w:rFonts w:hint="eastAsia" w:eastAsia="方正仿宋_GBK"/>
          <w:szCs w:val="32"/>
        </w:rPr>
        <w:t>套、建筑面积</w:t>
      </w:r>
      <w:r>
        <w:rPr>
          <w:rFonts w:hint="eastAsia" w:eastAsia="方正仿宋_GBK"/>
          <w:szCs w:val="32"/>
          <w:u w:val="single"/>
        </w:rPr>
        <w:t xml:space="preserve">       </w:t>
      </w:r>
      <w:r>
        <w:rPr>
          <w:rFonts w:hint="eastAsia" w:eastAsia="方正仿宋_GBK"/>
          <w:szCs w:val="32"/>
        </w:rPr>
        <w:t>万平方米，已付购房款合计</w:t>
      </w:r>
    </w:p>
    <w:p>
      <w:pPr>
        <w:spacing w:line="600" w:lineRule="exact"/>
        <w:rPr>
          <w:rFonts w:hint="eastAsia" w:eastAsia="方正仿宋_GBK"/>
          <w:szCs w:val="32"/>
        </w:rPr>
      </w:pPr>
      <w:r>
        <w:rPr>
          <w:rFonts w:hint="eastAsia" w:eastAsia="方正仿宋_GBK"/>
          <w:szCs w:val="32"/>
          <w:u w:val="single"/>
        </w:rPr>
        <w:t xml:space="preserve">      </w:t>
      </w:r>
      <w:r>
        <w:rPr>
          <w:rFonts w:hint="eastAsia" w:eastAsia="方正仿宋_GBK"/>
          <w:szCs w:val="32"/>
        </w:rPr>
        <w:t>万元，已于</w:t>
      </w:r>
      <w:r>
        <w:rPr>
          <w:rFonts w:hint="eastAsia" w:eastAsia="方正仿宋_GBK"/>
          <w:szCs w:val="32"/>
          <w:u w:val="single"/>
        </w:rPr>
        <w:t xml:space="preserve">    </w:t>
      </w:r>
      <w:r>
        <w:rPr>
          <w:rFonts w:hint="eastAsia" w:eastAsia="方正仿宋_GBK"/>
          <w:szCs w:val="32"/>
        </w:rPr>
        <w:t>年</w:t>
      </w:r>
      <w:r>
        <w:rPr>
          <w:rFonts w:hint="eastAsia" w:eastAsia="方正仿宋_GBK"/>
          <w:szCs w:val="32"/>
          <w:u w:val="single"/>
        </w:rPr>
        <w:t xml:space="preserve">    </w:t>
      </w:r>
      <w:r>
        <w:rPr>
          <w:rFonts w:hint="eastAsia" w:eastAsia="方正仿宋_GBK"/>
          <w:szCs w:val="32"/>
        </w:rPr>
        <w:t>月</w:t>
      </w:r>
      <w:r>
        <w:rPr>
          <w:rFonts w:hint="eastAsia" w:eastAsia="方正仿宋_GBK"/>
          <w:szCs w:val="32"/>
          <w:u w:val="single"/>
        </w:rPr>
        <w:t xml:space="preserve">    </w:t>
      </w:r>
      <w:r>
        <w:rPr>
          <w:rFonts w:hint="eastAsia" w:eastAsia="方正仿宋_GBK"/>
          <w:szCs w:val="32"/>
        </w:rPr>
        <w:t>日全额进入项目预售资金子账号内。</w:t>
      </w:r>
    </w:p>
    <w:p>
      <w:pPr>
        <w:spacing w:line="600" w:lineRule="exact"/>
        <w:ind w:firstLine="640" w:firstLineChars="200"/>
        <w:rPr>
          <w:rFonts w:hint="eastAsia" w:eastAsia="方正仿宋_GBK"/>
          <w:szCs w:val="32"/>
        </w:rPr>
      </w:pPr>
      <w:r>
        <w:rPr>
          <w:rFonts w:hint="eastAsia" w:eastAsia="方正仿宋_GBK"/>
          <w:szCs w:val="32"/>
        </w:rPr>
        <w:t>本次商品房预售资金入账明细表附后。</w:t>
      </w:r>
    </w:p>
    <w:p>
      <w:pPr>
        <w:spacing w:line="600" w:lineRule="exact"/>
        <w:ind w:firstLine="640" w:firstLineChars="200"/>
        <w:rPr>
          <w:rFonts w:hint="eastAsia" w:eastAsia="方正仿宋_GBK"/>
          <w:szCs w:val="32"/>
        </w:rPr>
      </w:pPr>
    </w:p>
    <w:p>
      <w:pPr>
        <w:spacing w:line="600" w:lineRule="exact"/>
        <w:rPr>
          <w:rFonts w:hint="eastAsia" w:eastAsia="方正仿宋_GBK"/>
          <w:szCs w:val="32"/>
        </w:rPr>
      </w:pPr>
      <w:r>
        <w:rPr>
          <w:rFonts w:hint="eastAsia" w:eastAsia="方正仿宋_GBK"/>
          <w:szCs w:val="32"/>
        </w:rPr>
        <w:t>房地产开发企业（盖章）      预售资金监管银行：（盖章）</w:t>
      </w:r>
    </w:p>
    <w:p>
      <w:pPr>
        <w:spacing w:line="600" w:lineRule="exact"/>
        <w:ind w:firstLine="160" w:firstLineChars="50"/>
        <w:rPr>
          <w:rFonts w:hint="eastAsia" w:eastAsia="方正仿宋_GBK"/>
          <w:szCs w:val="32"/>
        </w:rPr>
      </w:pPr>
    </w:p>
    <w:p>
      <w:pPr>
        <w:spacing w:line="600" w:lineRule="exact"/>
        <w:ind w:firstLine="1600" w:firstLineChars="500"/>
        <w:rPr>
          <w:rFonts w:hint="eastAsia" w:eastAsia="方正仿宋_GBK"/>
          <w:szCs w:val="32"/>
        </w:rPr>
      </w:pPr>
      <w:r>
        <w:rPr>
          <w:rFonts w:hint="eastAsia" w:eastAsia="方正仿宋_GBK"/>
          <w:szCs w:val="32"/>
        </w:rPr>
        <w:t>年  月   日                  年  月   日</w:t>
      </w:r>
    </w:p>
    <w:p>
      <w:pPr>
        <w:spacing w:line="600" w:lineRule="exact"/>
        <w:ind w:firstLine="160" w:firstLineChars="50"/>
        <w:rPr>
          <w:rFonts w:hint="eastAsia" w:eastAsia="方正仿宋_GBK"/>
          <w:szCs w:val="32"/>
        </w:rPr>
      </w:pPr>
    </w:p>
    <w:p>
      <w:pPr>
        <w:spacing w:line="600" w:lineRule="exact"/>
        <w:rPr>
          <w:rFonts w:hint="eastAsia" w:eastAsia="方正仿宋_GBK"/>
          <w:szCs w:val="32"/>
        </w:rPr>
      </w:pPr>
      <w:r>
        <w:rPr>
          <w:rFonts w:hint="eastAsia" w:eastAsia="方正仿宋_GBK"/>
          <w:szCs w:val="32"/>
        </w:rPr>
        <w:t xml:space="preserve">联系人：                     联系人：     </w:t>
      </w:r>
    </w:p>
    <w:p>
      <w:pPr>
        <w:spacing w:line="600" w:lineRule="exact"/>
        <w:rPr>
          <w:rFonts w:hint="eastAsia" w:eastAsia="方正仿宋_GBK"/>
          <w:sz w:val="36"/>
          <w:szCs w:val="36"/>
        </w:rPr>
      </w:pPr>
      <w:r>
        <w:rPr>
          <w:rFonts w:hint="eastAsia" w:eastAsia="方正仿宋_GBK"/>
          <w:szCs w:val="32"/>
        </w:rPr>
        <w:t>联系电话：                   联系电话：</w:t>
      </w:r>
    </w:p>
    <w:p>
      <w:pPr>
        <w:spacing w:line="600" w:lineRule="exact"/>
        <w:jc w:val="center"/>
        <w:rPr>
          <w:rFonts w:hint="eastAsia" w:eastAsia="方正仿宋_GBK"/>
          <w:sz w:val="36"/>
          <w:szCs w:val="36"/>
        </w:rPr>
      </w:pPr>
    </w:p>
    <w:p>
      <w:pPr>
        <w:jc w:val="center"/>
        <w:rPr>
          <w:rFonts w:hint="eastAsia" w:ascii="方正小标宋_GBK" w:hAnsi="华文中宋" w:eastAsia="方正小标宋_GBK"/>
          <w:sz w:val="36"/>
          <w:szCs w:val="36"/>
        </w:rPr>
      </w:pPr>
      <w:r>
        <w:rPr>
          <w:rFonts w:hint="eastAsia" w:ascii="方正小标宋_GBK" w:hAnsi="华文中宋" w:eastAsia="方正小标宋_GBK"/>
          <w:sz w:val="36"/>
          <w:szCs w:val="36"/>
        </w:rPr>
        <w:t>商品房预售资金入账明细表</w:t>
      </w:r>
    </w:p>
    <w:p>
      <w:pPr>
        <w:rPr>
          <w:rFonts w:hint="eastAsia" w:ascii="仿宋_GB2312" w:hAnsi="华文中宋" w:cs="宋体"/>
          <w:szCs w:val="32"/>
        </w:rPr>
      </w:pPr>
    </w:p>
    <w:p>
      <w:pPr>
        <w:rPr>
          <w:rFonts w:hint="eastAsia" w:ascii="方正楷体_GBK" w:hAnsi="宋体" w:eastAsia="方正楷体_GBK" w:cs="宋体"/>
          <w:szCs w:val="32"/>
        </w:rPr>
      </w:pPr>
      <w:r>
        <w:rPr>
          <w:rFonts w:hint="eastAsia" w:ascii="方正楷体_GBK" w:hAnsi="宋体" w:eastAsia="方正楷体_GBK" w:cs="宋体"/>
          <w:szCs w:val="32"/>
        </w:rPr>
        <w:t xml:space="preserve">项目名称：               </w:t>
      </w:r>
    </w:p>
    <w:p>
      <w:pPr>
        <w:rPr>
          <w:rFonts w:hint="eastAsia" w:ascii="方正楷体_GBK" w:eastAsia="方正楷体_GBK"/>
          <w:szCs w:val="32"/>
        </w:rPr>
      </w:pPr>
      <w:r>
        <w:rPr>
          <w:rFonts w:hint="eastAsia" w:ascii="方正楷体_GBK" w:hAnsi="宋体" w:eastAsia="方正楷体_GBK" w:cs="宋体"/>
          <w:szCs w:val="32"/>
        </w:rPr>
        <w:t xml:space="preserve">预售资金监管子账号:                                    </w:t>
      </w:r>
    </w:p>
    <w:tbl>
      <w:tblPr>
        <w:tblStyle w:val="14"/>
        <w:tblW w:w="976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90"/>
        <w:gridCol w:w="900"/>
        <w:gridCol w:w="1080"/>
        <w:gridCol w:w="25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序号</w:t>
            </w:r>
          </w:p>
        </w:tc>
        <w:tc>
          <w:tcPr>
            <w:tcW w:w="790" w:type="dxa"/>
            <w:noWrap w:val="0"/>
            <w:vAlign w:val="center"/>
          </w:tcPr>
          <w:p>
            <w:pPr>
              <w:jc w:val="center"/>
              <w:rPr>
                <w:rFonts w:hint="eastAsia" w:ascii="宋体" w:hAnsi="宋体" w:eastAsia="宋体"/>
                <w:sz w:val="21"/>
              </w:rPr>
            </w:pPr>
            <w:r>
              <w:rPr>
                <w:rFonts w:hint="eastAsia" w:ascii="宋体" w:hAnsi="宋体" w:eastAsia="宋体"/>
                <w:sz w:val="21"/>
              </w:rPr>
              <w:t>栋号</w:t>
            </w:r>
          </w:p>
        </w:tc>
        <w:tc>
          <w:tcPr>
            <w:tcW w:w="900" w:type="dxa"/>
            <w:noWrap w:val="0"/>
            <w:vAlign w:val="center"/>
          </w:tcPr>
          <w:p>
            <w:pPr>
              <w:jc w:val="center"/>
              <w:rPr>
                <w:rFonts w:hint="eastAsia" w:ascii="宋体" w:hAnsi="宋体" w:eastAsia="宋体"/>
                <w:sz w:val="21"/>
              </w:rPr>
            </w:pPr>
            <w:r>
              <w:rPr>
                <w:rFonts w:hint="eastAsia" w:ascii="宋体" w:hAnsi="宋体" w:eastAsia="宋体"/>
                <w:sz w:val="21"/>
              </w:rPr>
              <w:t>房号</w:t>
            </w:r>
          </w:p>
        </w:tc>
        <w:tc>
          <w:tcPr>
            <w:tcW w:w="1080" w:type="dxa"/>
            <w:noWrap w:val="0"/>
            <w:vAlign w:val="center"/>
          </w:tcPr>
          <w:p>
            <w:pPr>
              <w:jc w:val="center"/>
              <w:rPr>
                <w:rFonts w:hint="eastAsia" w:ascii="宋体" w:hAnsi="宋体" w:eastAsia="宋体"/>
                <w:sz w:val="21"/>
              </w:rPr>
            </w:pPr>
            <w:r>
              <w:rPr>
                <w:rFonts w:hint="eastAsia" w:ascii="宋体" w:hAnsi="宋体" w:eastAsia="宋体"/>
                <w:sz w:val="21"/>
              </w:rPr>
              <w:t>购房人</w:t>
            </w:r>
          </w:p>
        </w:tc>
        <w:tc>
          <w:tcPr>
            <w:tcW w:w="2520" w:type="dxa"/>
            <w:noWrap w:val="0"/>
            <w:vAlign w:val="center"/>
          </w:tcPr>
          <w:p>
            <w:pPr>
              <w:jc w:val="center"/>
              <w:rPr>
                <w:rFonts w:hint="eastAsia" w:ascii="宋体" w:hAnsi="宋体" w:eastAsia="宋体"/>
                <w:sz w:val="21"/>
              </w:rPr>
            </w:pPr>
            <w:r>
              <w:rPr>
                <w:rFonts w:hint="eastAsia" w:ascii="宋体" w:hAnsi="宋体" w:eastAsia="宋体"/>
                <w:sz w:val="21"/>
              </w:rPr>
              <w:t>证件编号</w:t>
            </w:r>
          </w:p>
        </w:tc>
        <w:tc>
          <w:tcPr>
            <w:tcW w:w="1260" w:type="dxa"/>
            <w:noWrap w:val="0"/>
            <w:vAlign w:val="center"/>
          </w:tcPr>
          <w:p>
            <w:pPr>
              <w:jc w:val="center"/>
              <w:rPr>
                <w:rFonts w:hint="eastAsia" w:ascii="宋体" w:hAnsi="宋体" w:eastAsia="宋体"/>
                <w:sz w:val="21"/>
              </w:rPr>
            </w:pPr>
            <w:r>
              <w:rPr>
                <w:rFonts w:hint="eastAsia" w:ascii="宋体" w:hAnsi="宋体" w:eastAsia="宋体"/>
                <w:sz w:val="21"/>
              </w:rPr>
              <w:t>购房款</w:t>
            </w:r>
          </w:p>
          <w:p>
            <w:pPr>
              <w:jc w:val="center"/>
              <w:rPr>
                <w:rFonts w:hint="eastAsia" w:ascii="宋体" w:hAnsi="宋体" w:eastAsia="宋体"/>
                <w:sz w:val="21"/>
              </w:rPr>
            </w:pPr>
            <w:r>
              <w:rPr>
                <w:rFonts w:hint="eastAsia" w:ascii="宋体" w:hAnsi="宋体" w:eastAsia="宋体"/>
                <w:sz w:val="21"/>
              </w:rPr>
              <w:t>总额</w:t>
            </w:r>
          </w:p>
          <w:p>
            <w:pPr>
              <w:jc w:val="center"/>
              <w:rPr>
                <w:rFonts w:hint="eastAsia" w:ascii="宋体" w:hAnsi="宋体" w:eastAsia="宋体"/>
                <w:sz w:val="21"/>
              </w:rPr>
            </w:pPr>
            <w:r>
              <w:rPr>
                <w:rFonts w:hint="eastAsia" w:ascii="宋体" w:hAnsi="宋体" w:eastAsia="宋体"/>
                <w:sz w:val="21"/>
              </w:rPr>
              <w:t>（万元）</w:t>
            </w:r>
          </w:p>
        </w:tc>
        <w:tc>
          <w:tcPr>
            <w:tcW w:w="1260" w:type="dxa"/>
            <w:noWrap w:val="0"/>
            <w:vAlign w:val="center"/>
          </w:tcPr>
          <w:p>
            <w:pPr>
              <w:jc w:val="center"/>
              <w:rPr>
                <w:rFonts w:hint="eastAsia" w:ascii="宋体" w:hAnsi="宋体" w:eastAsia="宋体"/>
                <w:sz w:val="21"/>
              </w:rPr>
            </w:pPr>
            <w:r>
              <w:rPr>
                <w:rFonts w:hint="eastAsia" w:ascii="宋体" w:hAnsi="宋体" w:eastAsia="宋体"/>
                <w:sz w:val="21"/>
              </w:rPr>
              <w:t>付款方式</w:t>
            </w:r>
          </w:p>
        </w:tc>
        <w:tc>
          <w:tcPr>
            <w:tcW w:w="1260" w:type="dxa"/>
            <w:noWrap w:val="0"/>
            <w:vAlign w:val="center"/>
          </w:tcPr>
          <w:p>
            <w:pPr>
              <w:jc w:val="center"/>
              <w:rPr>
                <w:rFonts w:hint="eastAsia" w:ascii="宋体" w:hAnsi="宋体" w:eastAsia="宋体"/>
                <w:sz w:val="21"/>
              </w:rPr>
            </w:pPr>
            <w:r>
              <w:rPr>
                <w:rFonts w:hint="eastAsia" w:ascii="宋体" w:hAnsi="宋体" w:eastAsia="宋体"/>
                <w:sz w:val="21"/>
              </w:rPr>
              <w:t>已付</w:t>
            </w:r>
          </w:p>
          <w:p>
            <w:pPr>
              <w:jc w:val="center"/>
              <w:rPr>
                <w:rFonts w:hint="eastAsia" w:ascii="宋体" w:hAnsi="宋体" w:eastAsia="宋体"/>
                <w:sz w:val="21"/>
              </w:rPr>
            </w:pPr>
            <w:r>
              <w:rPr>
                <w:rFonts w:hint="eastAsia" w:ascii="宋体" w:hAnsi="宋体" w:eastAsia="宋体"/>
                <w:sz w:val="21"/>
              </w:rPr>
              <w:t>购房款</w:t>
            </w:r>
          </w:p>
          <w:p>
            <w:pPr>
              <w:jc w:val="center"/>
              <w:rPr>
                <w:rFonts w:hint="eastAsia" w:ascii="宋体" w:hAnsi="宋体" w:eastAsia="宋体"/>
                <w:sz w:val="21"/>
              </w:rPr>
            </w:pPr>
            <w:r>
              <w:rPr>
                <w:rFonts w:hint="eastAsia" w:ascii="宋体" w:hAnsi="宋体" w:eastAsia="宋体"/>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1</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2</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3</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4</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5</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6</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7</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8</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9</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8" w:type="dxa"/>
            <w:noWrap w:val="0"/>
            <w:vAlign w:val="center"/>
          </w:tcPr>
          <w:p>
            <w:pPr>
              <w:jc w:val="center"/>
              <w:rPr>
                <w:rFonts w:hint="eastAsia" w:ascii="宋体" w:hAnsi="宋体" w:eastAsia="宋体"/>
                <w:sz w:val="21"/>
              </w:rPr>
            </w:pPr>
            <w:r>
              <w:rPr>
                <w:rFonts w:hint="eastAsia" w:ascii="宋体" w:hAnsi="宋体" w:eastAsia="宋体"/>
                <w:sz w:val="21"/>
              </w:rPr>
              <w:t>10</w:t>
            </w:r>
          </w:p>
        </w:tc>
        <w:tc>
          <w:tcPr>
            <w:tcW w:w="790" w:type="dxa"/>
            <w:noWrap w:val="0"/>
            <w:vAlign w:val="center"/>
          </w:tcPr>
          <w:p>
            <w:pPr>
              <w:jc w:val="center"/>
              <w:rPr>
                <w:rFonts w:hint="eastAsia" w:ascii="宋体" w:hAnsi="宋体" w:eastAsia="宋体"/>
                <w:sz w:val="21"/>
              </w:rPr>
            </w:pPr>
          </w:p>
        </w:tc>
        <w:tc>
          <w:tcPr>
            <w:tcW w:w="900" w:type="dxa"/>
            <w:noWrap w:val="0"/>
            <w:vAlign w:val="center"/>
          </w:tcPr>
          <w:p>
            <w:pPr>
              <w:jc w:val="center"/>
              <w:rPr>
                <w:rFonts w:hint="eastAsia" w:ascii="宋体" w:hAnsi="宋体" w:eastAsia="宋体"/>
                <w:sz w:val="21"/>
              </w:rPr>
            </w:pPr>
          </w:p>
        </w:tc>
        <w:tc>
          <w:tcPr>
            <w:tcW w:w="1080" w:type="dxa"/>
            <w:noWrap w:val="0"/>
            <w:vAlign w:val="center"/>
          </w:tcPr>
          <w:p>
            <w:pPr>
              <w:jc w:val="center"/>
              <w:rPr>
                <w:rFonts w:hint="eastAsia" w:ascii="宋体" w:hAnsi="宋体" w:eastAsia="宋体"/>
                <w:sz w:val="21"/>
              </w:rPr>
            </w:pPr>
          </w:p>
        </w:tc>
        <w:tc>
          <w:tcPr>
            <w:tcW w:w="252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c>
          <w:tcPr>
            <w:tcW w:w="1260"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88" w:type="dxa"/>
            <w:gridSpan w:val="5"/>
            <w:noWrap w:val="0"/>
            <w:vAlign w:val="center"/>
          </w:tcPr>
          <w:p>
            <w:pPr>
              <w:jc w:val="center"/>
              <w:rPr>
                <w:rFonts w:hint="eastAsia" w:ascii="宋体" w:hAnsi="宋体" w:eastAsia="宋体"/>
                <w:sz w:val="21"/>
              </w:rPr>
            </w:pPr>
            <w:r>
              <w:rPr>
                <w:rFonts w:hint="eastAsia" w:ascii="宋体" w:hAnsi="宋体" w:eastAsia="宋体"/>
                <w:sz w:val="21"/>
              </w:rPr>
              <w:t>合计（万元）</w:t>
            </w:r>
          </w:p>
        </w:tc>
        <w:tc>
          <w:tcPr>
            <w:tcW w:w="1260" w:type="dxa"/>
            <w:noWrap w:val="0"/>
            <w:vAlign w:val="center"/>
          </w:tcPr>
          <w:p>
            <w:pPr>
              <w:jc w:val="center"/>
              <w:rPr>
                <w:rFonts w:hint="eastAsia" w:ascii="宋体" w:hAnsi="宋体" w:eastAsia="宋体"/>
                <w:sz w:val="21"/>
              </w:rPr>
            </w:pPr>
          </w:p>
        </w:tc>
        <w:tc>
          <w:tcPr>
            <w:tcW w:w="1260" w:type="dxa"/>
            <w:tcBorders>
              <w:tr2bl w:val="single" w:color="auto" w:sz="4" w:space="0"/>
            </w:tcBorders>
            <w:noWrap w:val="0"/>
            <w:vAlign w:val="center"/>
          </w:tcPr>
          <w:p>
            <w:pPr>
              <w:jc w:val="center"/>
              <w:rPr>
                <w:rFonts w:hint="eastAsia" w:ascii="宋体" w:hAnsi="宋体" w:eastAsia="宋体"/>
                <w:sz w:val="21"/>
              </w:rPr>
            </w:pPr>
          </w:p>
        </w:tc>
        <w:tc>
          <w:tcPr>
            <w:tcW w:w="1260" w:type="dxa"/>
            <w:tcBorders>
              <w:right w:val="single" w:color="auto" w:sz="4" w:space="0"/>
            </w:tcBorders>
            <w:noWrap w:val="0"/>
            <w:vAlign w:val="center"/>
          </w:tcPr>
          <w:p>
            <w:pPr>
              <w:rPr>
                <w:rFonts w:hint="eastAsia" w:ascii="宋体" w:hAnsi="宋体" w:eastAsia="宋体"/>
                <w:sz w:val="21"/>
              </w:rPr>
            </w:pPr>
          </w:p>
        </w:tc>
      </w:tr>
    </w:tbl>
    <w:p>
      <w:pPr>
        <w:rPr>
          <w:rFonts w:hint="eastAsia" w:ascii="宋体" w:hAnsi="宋体"/>
          <w:sz w:val="24"/>
        </w:rPr>
      </w:pPr>
    </w:p>
    <w:p>
      <w:pPr>
        <w:rPr>
          <w:rFonts w:hint="eastAsia" w:ascii="仿宋_GB2312" w:hAnsi="宋体"/>
          <w:szCs w:val="32"/>
        </w:rPr>
      </w:pPr>
    </w:p>
    <w:p>
      <w:pPr>
        <w:rPr>
          <w:rFonts w:hint="eastAsia" w:ascii="仿宋_GB2312" w:hAnsi="宋体"/>
          <w:szCs w:val="32"/>
        </w:rPr>
      </w:pPr>
    </w:p>
    <w:p>
      <w:pPr>
        <w:rPr>
          <w:rFonts w:hint="eastAsia" w:ascii="仿宋_GB2312" w:hAnsi="宋体"/>
          <w:szCs w:val="32"/>
        </w:rPr>
      </w:pPr>
    </w:p>
    <w:p>
      <w:pPr>
        <w:rPr>
          <w:rFonts w:hint="eastAsia" w:ascii="宋体" w:hAnsi="宋体"/>
          <w:sz w:val="28"/>
          <w:szCs w:val="28"/>
        </w:rPr>
      </w:pPr>
      <w:r>
        <w:rPr>
          <w:rFonts w:hint="eastAsia" w:ascii="宋体" w:hAnsi="宋体"/>
          <w:sz w:val="28"/>
          <w:szCs w:val="28"/>
        </w:rPr>
        <w:t>房地产开发企业：（盖章）          预售资金监管银行：（盖章）</w:t>
      </w:r>
    </w:p>
    <w:p>
      <w:pPr>
        <w:rPr>
          <w:rFonts w:hint="eastAsia" w:ascii="宋体" w:hAnsi="宋体"/>
          <w:sz w:val="24"/>
        </w:rPr>
      </w:pPr>
      <w:r>
        <w:rPr>
          <w:rFonts w:hint="eastAsia" w:ascii="仿宋_GB2312" w:hAnsi="宋体"/>
          <w:szCs w:val="32"/>
        </w:rPr>
        <w:t xml:space="preserve"> </w:t>
      </w:r>
      <w:r>
        <w:rPr>
          <w:rFonts w:hint="eastAsia" w:ascii="宋体" w:hAnsi="宋体"/>
          <w:sz w:val="24"/>
        </w:rPr>
        <w:t xml:space="preserve">                                    </w:t>
      </w:r>
    </w:p>
    <w:p>
      <w:pPr>
        <w:ind w:firstLine="5760" w:firstLineChars="1800"/>
        <w:rPr>
          <w:rFonts w:hint="eastAsia" w:ascii="宋体" w:hAnsi="宋体"/>
          <w:szCs w:val="32"/>
        </w:rPr>
      </w:pPr>
      <w:r>
        <w:rPr>
          <w:rFonts w:hint="eastAsia" w:ascii="宋体" w:hAnsi="宋体"/>
          <w:szCs w:val="32"/>
        </w:rPr>
        <w:t>年    月    日</w:t>
      </w:r>
    </w:p>
    <w:p>
      <w:pPr>
        <w:rPr>
          <w:rFonts w:hint="eastAsia" w:ascii="方正仿宋_GBK" w:eastAsia="方正仿宋_GBK"/>
          <w:sz w:val="28"/>
        </w:rPr>
      </w:pPr>
    </w:p>
    <w:p>
      <w:pPr>
        <w:rPr>
          <w:rFonts w:hint="eastAsia" w:ascii="宋体" w:hAnsi="宋体"/>
          <w:szCs w:val="32"/>
        </w:rPr>
      </w:pPr>
      <w:r>
        <w:rPr>
          <w:rFonts w:hint="eastAsia" w:ascii="方正仿宋_GBK" w:eastAsia="方正仿宋_GBK"/>
          <w:sz w:val="28"/>
        </w:rPr>
        <w:t>抄送：市建委，人民银行营管部，市银监局。</w:t>
      </w:r>
    </w:p>
    <w:p>
      <w:pPr>
        <w:tabs>
          <w:tab w:val="left" w:pos="3735"/>
        </w:tabs>
        <w:spacing w:line="600" w:lineRule="atLeast"/>
        <w:jc w:val="left"/>
        <w:rPr>
          <w:rFonts w:ascii="Times New Roman" w:hAnsi="Times New Roman" w:eastAsia="方正仿宋_GBK"/>
          <w:kern w:val="0"/>
          <w:sz w:val="32"/>
          <w:szCs w:val="32"/>
          <w:shd w:val="clear" w:color="auto" w:fill="FFFFFF"/>
        </w:rPr>
        <w:sectPr>
          <w:headerReference r:id="rId3" w:type="default"/>
          <w:footerReference r:id="rId4" w:type="default"/>
          <w:type w:val="continuous"/>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atLeast"/>
        <w:jc w:val="left"/>
        <w:rPr>
          <w:rFonts w:ascii="Times New Roman" w:hAnsi="Times New Roman" w:eastAsia="方正仿宋_GBK"/>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4C6E9B"/>
    <w:rsid w:val="004D51F0"/>
    <w:rsid w:val="00767A35"/>
    <w:rsid w:val="007B0368"/>
    <w:rsid w:val="009A7B71"/>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8721399"/>
    <w:rsid w:val="395347B5"/>
    <w:rsid w:val="39A232A0"/>
    <w:rsid w:val="39E745AA"/>
    <w:rsid w:val="3B5A6BBB"/>
    <w:rsid w:val="3CA154E3"/>
    <w:rsid w:val="3EDA13A6"/>
    <w:rsid w:val="3FF56C14"/>
    <w:rsid w:val="416C472B"/>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AE47FBC"/>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仿宋_GB2312" w:cs="Times New Roman"/>
      <w:snapToGrid w:val="0"/>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41"/>
    <w:qFormat/>
    <w:uiPriority w:val="99"/>
    <w:pPr>
      <w:jc w:val="left"/>
    </w:pPr>
  </w:style>
  <w:style w:type="paragraph" w:styleId="5">
    <w:name w:val="Body Text"/>
    <w:basedOn w:val="1"/>
    <w:link w:val="25"/>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7"/>
    <w:unhideWhenUsed/>
    <w:qFormat/>
    <w:uiPriority w:val="99"/>
    <w:pPr>
      <w:ind w:left="100" w:leftChars="2500"/>
    </w:pPr>
    <w:rPr>
      <w:rFonts w:ascii="Calibri" w:hAnsi="Calibri" w:eastAsia="宋体" w:cs="Times New Roman"/>
      <w:szCs w:val="22"/>
    </w:rPr>
  </w:style>
  <w:style w:type="paragraph" w:styleId="7">
    <w:name w:val="Balloon Text"/>
    <w:basedOn w:val="1"/>
    <w:link w:val="21"/>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semiHidden/>
    <w:qFormat/>
    <w:uiPriority w:val="2"/>
    <w:pPr>
      <w:snapToGrid/>
      <w:spacing w:line="1100" w:lineRule="exact"/>
      <w:jc w:val="left"/>
    </w:pPr>
    <w:rPr>
      <w:rFonts w:ascii="方正姚体" w:eastAsia="方正姚体"/>
      <w:spacing w:val="-84"/>
      <w:w w:val="90"/>
      <w:sz w:val="80"/>
      <w:szCs w:val="80"/>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link w:val="38"/>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39"/>
    <w:unhideWhenUsed/>
    <w:qFormat/>
    <w:uiPriority w:val="99"/>
    <w:rPr>
      <w:rFonts w:ascii="Times New Roman" w:hAnsi="Times New Roman" w:eastAsia="宋体" w:cs="Times New Roman"/>
      <w:b/>
      <w:bCs/>
      <w:kern w:val="0"/>
      <w:sz w:val="20"/>
      <w:szCs w:val="20"/>
    </w:r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unhideWhenUsed/>
    <w:qFormat/>
    <w:uiPriority w:val="99"/>
    <w:rPr>
      <w:color w:val="0000FF"/>
      <w:u w:val="single"/>
    </w:rPr>
  </w:style>
  <w:style w:type="character" w:styleId="19">
    <w:name w:val="annotation reference"/>
    <w:basedOn w:val="15"/>
    <w:qFormat/>
    <w:uiPriority w:val="99"/>
    <w:rPr>
      <w:sz w:val="21"/>
      <w:szCs w:val="21"/>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批注框文本 字符"/>
    <w:basedOn w:val="15"/>
    <w:link w:val="7"/>
    <w:qFormat/>
    <w:uiPriority w:val="99"/>
    <w:rPr>
      <w:rFonts w:asciiTheme="minorHAnsi" w:hAnsiTheme="minorHAnsi" w:eastAsiaTheme="minorEastAsia" w:cstheme="minorBidi"/>
      <w:kern w:val="2"/>
      <w:sz w:val="18"/>
      <w:szCs w:val="18"/>
    </w:rPr>
  </w:style>
  <w:style w:type="character" w:customStyle="1" w:styleId="22">
    <w:name w:val="页脚 字符"/>
    <w:link w:val="8"/>
    <w:qFormat/>
    <w:uiPriority w:val="99"/>
    <w:rPr>
      <w:rFonts w:asciiTheme="minorHAnsi" w:hAnsiTheme="minorHAnsi" w:eastAsiaTheme="minorEastAsia" w:cstheme="minorBidi"/>
      <w:kern w:val="2"/>
      <w:sz w:val="18"/>
      <w:szCs w:val="24"/>
    </w:rPr>
  </w:style>
  <w:style w:type="character" w:customStyle="1" w:styleId="23">
    <w:name w:val="页眉 字符"/>
    <w:link w:val="9"/>
    <w:qFormat/>
    <w:uiPriority w:val="99"/>
    <w:rPr>
      <w:rFonts w:asciiTheme="minorHAnsi" w:hAnsiTheme="minorHAnsi" w:eastAsiaTheme="minorEastAsia" w:cstheme="minorBidi"/>
      <w:kern w:val="2"/>
      <w:sz w:val="18"/>
      <w:szCs w:val="24"/>
    </w:rPr>
  </w:style>
  <w:style w:type="character" w:customStyle="1" w:styleId="24">
    <w:name w:val="正文文本 字符"/>
    <w:basedOn w:val="15"/>
    <w:qFormat/>
    <w:uiPriority w:val="0"/>
    <w:rPr>
      <w:rFonts w:asciiTheme="minorHAnsi" w:hAnsiTheme="minorHAnsi" w:eastAsiaTheme="minorEastAsia" w:cstheme="minorBidi"/>
      <w:kern w:val="2"/>
      <w:sz w:val="21"/>
      <w:szCs w:val="24"/>
    </w:rPr>
  </w:style>
  <w:style w:type="character" w:customStyle="1" w:styleId="25">
    <w:name w:val="正文文本 字符1"/>
    <w:link w:val="5"/>
    <w:qFormat/>
    <w:uiPriority w:val="0"/>
    <w:rPr>
      <w:rFonts w:eastAsia="仿宋_GB2312"/>
      <w:b/>
      <w:bCs/>
      <w:kern w:val="2"/>
      <w:sz w:val="44"/>
      <w:szCs w:val="24"/>
    </w:rPr>
  </w:style>
  <w:style w:type="character" w:customStyle="1" w:styleId="26">
    <w:name w:val="页眉 Char"/>
    <w:qFormat/>
    <w:uiPriority w:val="99"/>
    <w:rPr>
      <w:rFonts w:ascii="Calibri" w:hAnsi="Calibri" w:eastAsia="宋体" w:cs="Times New Roman"/>
      <w:sz w:val="18"/>
      <w:szCs w:val="18"/>
    </w:rPr>
  </w:style>
  <w:style w:type="character" w:customStyle="1" w:styleId="27">
    <w:name w:val="页脚 Char"/>
    <w:qFormat/>
    <w:uiPriority w:val="99"/>
    <w:rPr>
      <w:rFonts w:ascii="Calibri" w:hAnsi="Calibri" w:eastAsia="宋体" w:cs="Times New Roman"/>
      <w:sz w:val="18"/>
      <w:szCs w:val="18"/>
    </w:rPr>
  </w:style>
  <w:style w:type="paragraph" w:customStyle="1" w:styleId="28">
    <w:name w:val="列出段落1"/>
    <w:basedOn w:val="1"/>
    <w:qFormat/>
    <w:uiPriority w:val="0"/>
    <w:pPr>
      <w:ind w:firstLine="420" w:firstLineChars="200"/>
    </w:pPr>
    <w:rPr>
      <w:rFonts w:ascii="Calibri" w:hAnsi="Calibri" w:eastAsia="宋体" w:cs="Times New Roman"/>
    </w:rPr>
  </w:style>
  <w:style w:type="character" w:customStyle="1" w:styleId="29">
    <w:name w:val="正文文本 (2)_"/>
    <w:link w:val="30"/>
    <w:qFormat/>
    <w:uiPriority w:val="99"/>
    <w:rPr>
      <w:rFonts w:ascii="宋体" w:cs="宋体"/>
      <w:spacing w:val="30"/>
      <w:sz w:val="28"/>
      <w:szCs w:val="28"/>
      <w:shd w:val="clear" w:color="auto" w:fill="FFFFFF"/>
    </w:rPr>
  </w:style>
  <w:style w:type="paragraph" w:customStyle="1" w:styleId="30">
    <w:name w:val="正文文本 (2)1"/>
    <w:basedOn w:val="1"/>
    <w:link w:val="29"/>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31">
    <w:name w:val="标题 #3_"/>
    <w:link w:val="32"/>
    <w:qFormat/>
    <w:uiPriority w:val="99"/>
    <w:rPr>
      <w:rFonts w:ascii="宋体" w:cs="宋体"/>
      <w:spacing w:val="-20"/>
      <w:sz w:val="42"/>
      <w:szCs w:val="42"/>
      <w:shd w:val="clear" w:color="auto" w:fill="FFFFFF"/>
    </w:rPr>
  </w:style>
  <w:style w:type="paragraph" w:customStyle="1" w:styleId="32">
    <w:name w:val="标题 #3"/>
    <w:basedOn w:val="1"/>
    <w:link w:val="31"/>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3">
    <w:name w:val="标题 #4_"/>
    <w:link w:val="34"/>
    <w:qFormat/>
    <w:uiPriority w:val="99"/>
    <w:rPr>
      <w:rFonts w:ascii="宋体" w:cs="宋体"/>
      <w:b/>
      <w:bCs/>
      <w:spacing w:val="40"/>
      <w:sz w:val="30"/>
      <w:szCs w:val="30"/>
      <w:shd w:val="clear" w:color="auto" w:fill="FFFFFF"/>
    </w:rPr>
  </w:style>
  <w:style w:type="paragraph" w:customStyle="1" w:styleId="34">
    <w:name w:val="标题 #4"/>
    <w:basedOn w:val="1"/>
    <w:link w:val="33"/>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5">
    <w:name w:val="标题 #4 + 间距 3 pt"/>
    <w:qFormat/>
    <w:uiPriority w:val="99"/>
    <w:rPr>
      <w:rFonts w:ascii="宋体" w:eastAsia="宋体" w:cs="宋体"/>
      <w:b/>
      <w:bCs/>
      <w:spacing w:val="70"/>
      <w:sz w:val="30"/>
      <w:szCs w:val="30"/>
      <w:shd w:val="clear" w:color="auto" w:fill="FFFFFF"/>
    </w:rPr>
  </w:style>
  <w:style w:type="paragraph" w:customStyle="1" w:styleId="36">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7">
    <w:name w:val="大标题"/>
    <w:basedOn w:val="12"/>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8">
    <w:name w:val="标题 字符"/>
    <w:basedOn w:val="15"/>
    <w:link w:val="12"/>
    <w:qFormat/>
    <w:uiPriority w:val="0"/>
    <w:rPr>
      <w:rFonts w:asciiTheme="majorHAnsi" w:hAnsiTheme="majorHAnsi" w:eastAsiaTheme="majorEastAsia" w:cstheme="majorBidi"/>
      <w:b/>
      <w:bCs/>
      <w:kern w:val="2"/>
      <w:sz w:val="32"/>
      <w:szCs w:val="32"/>
    </w:rPr>
  </w:style>
  <w:style w:type="character" w:customStyle="1" w:styleId="39">
    <w:name w:val="批注主题 字符"/>
    <w:link w:val="13"/>
    <w:qFormat/>
    <w:uiPriority w:val="99"/>
    <w:rPr>
      <w:b/>
      <w:bCs/>
    </w:rPr>
  </w:style>
  <w:style w:type="character" w:customStyle="1" w:styleId="40">
    <w:name w:val="批注文字 字符"/>
    <w:basedOn w:val="15"/>
    <w:semiHidden/>
    <w:qFormat/>
    <w:uiPriority w:val="99"/>
  </w:style>
  <w:style w:type="character" w:customStyle="1" w:styleId="41">
    <w:name w:val="批注文字 字符1"/>
    <w:basedOn w:val="15"/>
    <w:link w:val="4"/>
    <w:qFormat/>
    <w:uiPriority w:val="99"/>
    <w:rPr>
      <w:rFonts w:asciiTheme="minorHAnsi" w:hAnsiTheme="minorHAnsi" w:eastAsiaTheme="minorEastAsia" w:cstheme="minorBidi"/>
      <w:kern w:val="2"/>
      <w:sz w:val="21"/>
      <w:szCs w:val="24"/>
    </w:rPr>
  </w:style>
  <w:style w:type="character" w:customStyle="1" w:styleId="42">
    <w:name w:val="批注主题 字符1"/>
    <w:basedOn w:val="41"/>
    <w:qFormat/>
    <w:uiPriority w:val="0"/>
    <w:rPr>
      <w:rFonts w:asciiTheme="minorHAnsi" w:hAnsiTheme="minorHAnsi" w:eastAsiaTheme="minorEastAsia" w:cstheme="minorBidi"/>
      <w:b/>
      <w:bCs/>
      <w:kern w:val="2"/>
      <w:sz w:val="21"/>
      <w:szCs w:val="24"/>
    </w:rPr>
  </w:style>
  <w:style w:type="paragraph" w:styleId="43">
    <w:name w:val="List Paragraph"/>
    <w:basedOn w:val="1"/>
    <w:qFormat/>
    <w:uiPriority w:val="34"/>
    <w:pPr>
      <w:ind w:firstLine="420" w:firstLineChars="200"/>
    </w:pPr>
    <w:rPr>
      <w:rFonts w:ascii="Calibri" w:hAnsi="Calibri" w:eastAsia="宋体" w:cs="Times New Roman"/>
      <w:szCs w:val="22"/>
    </w:rPr>
  </w:style>
  <w:style w:type="paragraph" w:customStyle="1" w:styleId="44">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5">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6">
    <w:name w:val="日期 字符"/>
    <w:basedOn w:val="15"/>
    <w:qFormat/>
    <w:uiPriority w:val="0"/>
    <w:rPr>
      <w:rFonts w:asciiTheme="minorHAnsi" w:hAnsiTheme="minorHAnsi" w:eastAsiaTheme="minorEastAsia" w:cstheme="minorBidi"/>
      <w:kern w:val="2"/>
      <w:sz w:val="21"/>
      <w:szCs w:val="24"/>
    </w:rPr>
  </w:style>
  <w:style w:type="character" w:customStyle="1" w:styleId="47">
    <w:name w:val="日期 字符1"/>
    <w:basedOn w:val="15"/>
    <w:link w:val="6"/>
    <w:qFormat/>
    <w:uiPriority w:val="99"/>
    <w:rPr>
      <w:rFonts w:ascii="Calibri" w:hAnsi="Calibri"/>
      <w:kern w:val="2"/>
      <w:sz w:val="21"/>
      <w:szCs w:val="22"/>
    </w:rPr>
  </w:style>
  <w:style w:type="character" w:customStyle="1" w:styleId="48">
    <w:name w:val="批注框文本 Char"/>
    <w:semiHidden/>
    <w:qFormat/>
    <w:uiPriority w:val="99"/>
    <w:rPr>
      <w:sz w:val="18"/>
      <w:szCs w:val="18"/>
    </w:rPr>
  </w:style>
  <w:style w:type="character" w:customStyle="1" w:styleId="4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2362</Words>
  <Characters>2381</Characters>
  <Lines>1</Lines>
  <Paragraphs>1</Paragraphs>
  <TotalTime>19</TotalTime>
  <ScaleCrop>false</ScaleCrop>
  <LinksUpToDate>false</LinksUpToDate>
  <CharactersWithSpaces>2722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2023-03-13T08:54:00Z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