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48"/>
        <w:jc w:val="left"/>
        <w:rPr>
          <w:rFonts w:ascii="Times New Roman" w:hAnsi="Times New Roman" w:eastAsia="黑体"/>
          <w:color w:val="auto"/>
          <w:szCs w:val="32"/>
        </w:rPr>
      </w:pPr>
      <w:r>
        <w:rPr>
          <w:rFonts w:ascii="Times New Roman" w:hAnsi="Times New Roman" w:eastAsia="黑体"/>
          <w:color w:val="auto"/>
          <w:szCs w:val="32"/>
        </w:rPr>
        <w:t>附件2</w:t>
      </w:r>
    </w:p>
    <w:p>
      <w:pPr>
        <w:spacing w:line="520" w:lineRule="exact"/>
        <w:ind w:right="948"/>
        <w:jc w:val="left"/>
        <w:rPr>
          <w:rFonts w:ascii="Times New Roman" w:hAnsi="Times New Roman" w:eastAsia="黑体"/>
          <w:color w:val="auto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建筑企业申请资质重新核定承诺书</w:t>
      </w:r>
    </w:p>
    <w:p>
      <w:pPr>
        <w:spacing w:line="56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</w:p>
    <w:p>
      <w:pPr>
        <w:widowControl/>
        <w:spacing w:line="560" w:lineRule="exact"/>
        <w:ind w:firstLine="632" w:firstLineChars="200"/>
        <w:rPr>
          <w:rFonts w:ascii="Times New Roman" w:hAnsi="Times New Roman" w:eastAsia="方正黑体_GBK"/>
          <w:color w:val="auto"/>
          <w:szCs w:val="32"/>
        </w:rPr>
      </w:pPr>
      <w:r>
        <w:rPr>
          <w:rFonts w:ascii="Times New Roman" w:hAnsi="Times New Roman" w:eastAsia="方正黑体_GBK"/>
          <w:color w:val="auto"/>
          <w:szCs w:val="32"/>
        </w:rPr>
        <w:t>一、申请企业信息表：</w:t>
      </w:r>
    </w:p>
    <w:tbl>
      <w:tblPr>
        <w:tblStyle w:val="3"/>
        <w:tblW w:w="876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37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3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新企业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（获得资质企业盖章）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原企业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（资质来源企业盖章）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经办人及电话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组织机构代码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股东构成及持股比例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资质管理部门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  <w:t>填写核发资质证书的省市县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同左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资质转移形式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  <w:t>填写重组分立、合并、跨省变更等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同左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转移资质及等级</w:t>
            </w:r>
          </w:p>
        </w:tc>
        <w:tc>
          <w:tcPr>
            <w:tcW w:w="337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8"/>
              </w:rPr>
              <w:t>填写本次申请转移的资质及等级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同左</w:t>
            </w:r>
          </w:p>
        </w:tc>
      </w:tr>
    </w:tbl>
    <w:p>
      <w:pPr>
        <w:widowControl/>
        <w:spacing w:line="500" w:lineRule="exact"/>
        <w:ind w:firstLine="632" w:firstLineChars="200"/>
        <w:rPr>
          <w:rFonts w:ascii="Times New Roman" w:hAnsi="Times New Roman" w:eastAsia="方正黑体_GBK"/>
          <w:color w:val="auto"/>
          <w:szCs w:val="32"/>
        </w:rPr>
      </w:pPr>
      <w:r>
        <w:rPr>
          <w:rFonts w:ascii="Times New Roman" w:hAnsi="Times New Roman" w:eastAsia="方正黑体_GBK"/>
          <w:color w:val="auto"/>
          <w:szCs w:val="32"/>
        </w:rPr>
        <w:t>二、企业承诺内容：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新企业和原企业共同申请资质重新核定，对告知事项已了解且无异议，不存在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违反</w:t>
      </w:r>
      <w:r>
        <w:rPr>
          <w:rFonts w:ascii="Times New Roman" w:hAnsi="Times New Roman" w:eastAsia="方正仿宋_GBK"/>
          <w:color w:val="auto"/>
          <w:szCs w:val="32"/>
        </w:rPr>
        <w:t>《建筑企业申请资质重新核定告知书》的情形，并共同向资质主管部门和社会承诺：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（一）严格按照《关于进一步加强建设工程企业资质审批管理工作的通知》（建市规〔2023〕3号）及相关文件要求，满足申报条件，对申请材料的真实性负责，共同承担弄虚作假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的相关</w:t>
      </w:r>
      <w:r>
        <w:rPr>
          <w:rFonts w:ascii="Times New Roman" w:hAnsi="Times New Roman" w:eastAsia="方正仿宋_GBK"/>
          <w:color w:val="auto"/>
          <w:szCs w:val="32"/>
        </w:rPr>
        <w:t>责任，自愿接受行政处罚并纳入诚信记录。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（二）共同遵守《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重庆市住房和城乡建设委员会</w:t>
      </w:r>
      <w:r>
        <w:rPr>
          <w:rFonts w:ascii="Times New Roman" w:hAnsi="Times New Roman" w:eastAsia="方正仿宋_GBK"/>
          <w:color w:val="auto"/>
          <w:szCs w:val="32"/>
        </w:rPr>
        <w:t>关于加强建筑企业资质重新核定有关工作的通知》中的审批和监管要求。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（三）企业之间不存在违反法律法规规定的资质买卖行为。企业经办人员为本企业缴纳社保的正式职工。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（四）双方企业无失信被执行人记录；无信用中国联合惩戒记录；在建筑企业诚信记录中不存在影响资质转移的情形；不存在《建筑业企业资质管理规定》中第二十三条所列情形。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（五）新企业净资产、主要人员、技术装备等满足对应的资质标准及《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重庆市住房和城乡建设委员会</w:t>
      </w:r>
      <w:r>
        <w:rPr>
          <w:rFonts w:ascii="Times New Roman" w:hAnsi="Times New Roman" w:eastAsia="方正仿宋_GBK"/>
          <w:color w:val="auto"/>
          <w:szCs w:val="32"/>
        </w:rPr>
        <w:t>关于加强建筑企业资质重新核定有关工作的通知》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以及办事指南相关</w:t>
      </w:r>
      <w:r>
        <w:rPr>
          <w:rFonts w:ascii="Times New Roman" w:hAnsi="Times New Roman" w:eastAsia="方正仿宋_GBK"/>
          <w:color w:val="auto"/>
          <w:szCs w:val="32"/>
        </w:rPr>
        <w:t>要求；原企业资质在申请前已满足重新核定办理要求。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（六）重组分立前，重组分立资质所产生的一切债权、债务，签订所有合同产生的纠纷及法律后果均由原企业承担；合并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或跨省变更</w:t>
      </w:r>
      <w:r>
        <w:rPr>
          <w:rFonts w:ascii="Times New Roman" w:hAnsi="Times New Roman" w:eastAsia="方正仿宋_GBK"/>
          <w:color w:val="auto"/>
          <w:szCs w:val="32"/>
        </w:rPr>
        <w:t>前</w:t>
      </w:r>
      <w:r>
        <w:rPr>
          <w:rFonts w:hint="eastAsia" w:ascii="Times New Roman" w:hAnsi="Times New Roman" w:eastAsia="方正仿宋_GBK"/>
          <w:color w:val="auto"/>
          <w:szCs w:val="32"/>
        </w:rPr>
        <w:t>，</w:t>
      </w:r>
      <w:r>
        <w:rPr>
          <w:rFonts w:ascii="Times New Roman" w:hAnsi="Times New Roman" w:eastAsia="方正仿宋_GBK"/>
          <w:color w:val="auto"/>
          <w:szCs w:val="32"/>
        </w:rPr>
        <w:t>企业所产生的一切债权、债务，签订所有合同产生的纠纷及法律后果均由新企业承担。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（七）原企业无涉及本次转移资质的在建项目（合并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及跨省变更</w:t>
      </w:r>
      <w:r>
        <w:rPr>
          <w:rFonts w:ascii="Times New Roman" w:hAnsi="Times New Roman" w:eastAsia="方正仿宋_GBK"/>
          <w:color w:val="auto"/>
          <w:szCs w:val="32"/>
        </w:rPr>
        <w:t>除外）。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（八）企业申报事项存在弄虚作假和其他违法违规行为的，在主管部门调查期间，自愿接受相关限制措施。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</w:p>
    <w:p>
      <w:pPr>
        <w:spacing w:line="500" w:lineRule="exact"/>
        <w:ind w:firstLine="948" w:firstLineChars="300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新企业（盖章）                 原企业（盖章）</w:t>
      </w:r>
    </w:p>
    <w:p>
      <w:pPr>
        <w:spacing w:line="500" w:lineRule="exact"/>
        <w:ind w:firstLine="632" w:firstLineChars="200"/>
        <w:rPr>
          <w:rFonts w:ascii="Times New Roman" w:hAnsi="Times New Roman" w:eastAsia="方正仿宋_GBK"/>
          <w:color w:val="auto"/>
          <w:szCs w:val="32"/>
        </w:rPr>
        <w:sectPr>
          <w:footerReference r:id="rId3" w:type="default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ascii="Times New Roman" w:hAnsi="Times New Roman" w:eastAsia="方正仿宋_GBK"/>
          <w:color w:val="auto"/>
          <w:szCs w:val="32"/>
        </w:rPr>
        <w:t xml:space="preserve">    年  月  日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2024-09-11T09:04:48Z</dcterms:created>
  <dc:creator>Renkemumumunei</dc:creator>
  <cp:lastModifiedBy>WPS_1635931329</cp:lastModifiedBy>
  <dcterms:modified xsi:type="dcterms:W3CDTF">2024-09-11T09:04:57Z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0C055EE3F1214C45A46BD6F2F3E2F79D</vt:lpwstr>
  </property>
</Properties>
</file>