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szCs w:val="32"/>
        </w:rPr>
      </w:pP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eastAsia="方正小标宋_GBK"/>
          <w:sz w:val="44"/>
          <w:szCs w:val="44"/>
        </w:rPr>
      </w:pPr>
      <w:r>
        <w:rPr>
          <w:rFonts w:hint="eastAsia" w:eastAsia="方正小标宋_GBK"/>
          <w:sz w:val="44"/>
          <w:szCs w:val="44"/>
        </w:rPr>
        <w:t>重庆市城乡建设委员会</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eastAsia="方正小标宋_GBK"/>
          <w:sz w:val="44"/>
          <w:szCs w:val="44"/>
        </w:rPr>
      </w:pPr>
      <w:r>
        <w:rPr>
          <w:rFonts w:hint="eastAsia" w:eastAsia="方正小标宋_GBK"/>
          <w:sz w:val="44"/>
          <w:szCs w:val="44"/>
        </w:rPr>
        <w:t>关于做好装配式建筑项目实施有关工作的通知</w:t>
      </w:r>
    </w:p>
    <w:p>
      <w:pPr>
        <w:adjustRightInd w:val="0"/>
        <w:snapToGrid w:val="0"/>
        <w:spacing w:line="520" w:lineRule="atLeast"/>
        <w:jc w:val="center"/>
        <w:rPr>
          <w:rFonts w:hint="default" w:ascii="Times New Roman" w:hAnsi="Times New Roman" w:eastAsia="方正仿宋_GBK" w:cs="Times New Roman"/>
          <w:szCs w:val="32"/>
        </w:rPr>
      </w:pPr>
      <w:r>
        <w:rPr>
          <w:rFonts w:hint="default" w:ascii="Times New Roman" w:hAnsi="Times New Roman" w:eastAsia="方正仿宋_GBK" w:cs="Times New Roman"/>
          <w:szCs w:val="32"/>
        </w:rPr>
        <w:t>渝建〔2018〕147号</w:t>
      </w:r>
    </w:p>
    <w:p>
      <w:pPr>
        <w:adjustRightInd w:val="0"/>
        <w:snapToGrid w:val="0"/>
        <w:spacing w:line="520" w:lineRule="atLeast"/>
        <w:rPr>
          <w:rFonts w:hint="eastAsia" w:eastAsia="方正仿宋_GBK"/>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szCs w:val="32"/>
        </w:rPr>
      </w:pPr>
      <w:r>
        <w:rPr>
          <w:rFonts w:hint="eastAsia" w:eastAsia="方正仿宋_GBK"/>
          <w:szCs w:val="32"/>
        </w:rPr>
        <w:t>各区县（自治县）城乡建委，两江新区、经开区、高新区、万盛经开区、双桥经开区建设管理局，有关单位：</w:t>
      </w:r>
    </w:p>
    <w:p>
      <w:pPr>
        <w:keepNext w:val="0"/>
        <w:keepLines w:val="0"/>
        <w:pageBreakBefore w:val="0"/>
        <w:widowControl w:val="0"/>
        <w:kinsoku/>
        <w:wordWrap/>
        <w:overflowPunct/>
        <w:topLinePunct w:val="0"/>
        <w:autoSpaceDE/>
        <w:autoSpaceDN/>
        <w:bidi w:val="0"/>
        <w:adjustRightInd w:val="0"/>
        <w:snapToGrid w:val="0"/>
        <w:spacing w:line="560" w:lineRule="exact"/>
        <w:ind w:firstLine="630"/>
        <w:textAlignment w:val="auto"/>
        <w:rPr>
          <w:rFonts w:eastAsia="方正仿宋_GBK"/>
          <w:szCs w:val="32"/>
        </w:rPr>
      </w:pPr>
      <w:r>
        <w:rPr>
          <w:rFonts w:hint="eastAsia" w:eastAsia="方正仿宋_GBK"/>
          <w:szCs w:val="32"/>
        </w:rPr>
        <w:t>为进一步贯彻落实国务院办公厅《关于大力发展装配式建筑的指导意见》（国办发〔</w:t>
      </w:r>
      <w:r>
        <w:rPr>
          <w:rFonts w:eastAsia="方正仿宋_GBK"/>
          <w:szCs w:val="32"/>
        </w:rPr>
        <w:t>2016</w:t>
      </w:r>
      <w:r>
        <w:rPr>
          <w:rFonts w:hint="eastAsia" w:eastAsia="方正仿宋_GBK"/>
          <w:szCs w:val="32"/>
        </w:rPr>
        <w:t>〕</w:t>
      </w:r>
      <w:r>
        <w:rPr>
          <w:rFonts w:eastAsia="方正仿宋_GBK"/>
          <w:szCs w:val="32"/>
        </w:rPr>
        <w:t>71</w:t>
      </w:r>
      <w:r>
        <w:rPr>
          <w:rFonts w:hint="eastAsia" w:eastAsia="方正仿宋_GBK"/>
          <w:szCs w:val="32"/>
        </w:rPr>
        <w:t>号）和重庆市人民政府办公厅《关于大力发展装配式建筑的实施意见》（渝府办发〔</w:t>
      </w:r>
      <w:r>
        <w:rPr>
          <w:rFonts w:eastAsia="方正仿宋_GBK"/>
          <w:szCs w:val="32"/>
        </w:rPr>
        <w:t>2017</w:t>
      </w:r>
      <w:r>
        <w:rPr>
          <w:rFonts w:hint="eastAsia" w:eastAsia="方正仿宋_GBK"/>
          <w:szCs w:val="32"/>
        </w:rPr>
        <w:t>〕</w:t>
      </w:r>
      <w:r>
        <w:rPr>
          <w:rFonts w:eastAsia="方正仿宋_GBK"/>
          <w:szCs w:val="32"/>
        </w:rPr>
        <w:t>185</w:t>
      </w:r>
      <w:r>
        <w:rPr>
          <w:rFonts w:hint="eastAsia" w:eastAsia="方正仿宋_GBK"/>
          <w:szCs w:val="32"/>
        </w:rPr>
        <w:t>号）文件精神，切实推进装配式建筑项目实施，现就做好有关工作通知如下：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黑体_GBK"/>
          <w:szCs w:val="32"/>
        </w:rPr>
      </w:pPr>
      <w:r>
        <w:rPr>
          <w:rFonts w:hint="eastAsia" w:eastAsia="方正黑体_GBK"/>
          <w:szCs w:val="32"/>
        </w:rPr>
        <w:t>一、强化项目实施</w:t>
      </w:r>
    </w:p>
    <w:p>
      <w:pPr>
        <w:keepNext w:val="0"/>
        <w:keepLines w:val="0"/>
        <w:pageBreakBefore w:val="0"/>
        <w:widowControl w:val="0"/>
        <w:kinsoku/>
        <w:wordWrap/>
        <w:overflowPunct/>
        <w:topLinePunct w:val="0"/>
        <w:autoSpaceDE/>
        <w:autoSpaceDN/>
        <w:bidi w:val="0"/>
        <w:adjustRightInd w:val="0"/>
        <w:snapToGrid w:val="0"/>
        <w:spacing w:line="560" w:lineRule="exact"/>
        <w:ind w:left="10" w:firstLine="617" w:firstLineChars="193"/>
        <w:textAlignment w:val="auto"/>
        <w:rPr>
          <w:rFonts w:eastAsia="方正仿宋_GBK"/>
          <w:szCs w:val="32"/>
        </w:rPr>
      </w:pPr>
      <w:r>
        <w:rPr>
          <w:rFonts w:hint="eastAsia" w:eastAsia="方正仿宋_GBK"/>
          <w:szCs w:val="32"/>
        </w:rPr>
        <w:t>重点发展区域从</w:t>
      </w:r>
      <w:r>
        <w:rPr>
          <w:rFonts w:eastAsia="方正仿宋_GBK"/>
          <w:szCs w:val="32"/>
        </w:rPr>
        <w:t>2018</w:t>
      </w:r>
      <w:r>
        <w:rPr>
          <w:rFonts w:hint="eastAsia" w:eastAsia="方正仿宋_GBK"/>
          <w:szCs w:val="32"/>
        </w:rPr>
        <w:t>年</w:t>
      </w:r>
      <w:r>
        <w:rPr>
          <w:rFonts w:eastAsia="方正仿宋_GBK"/>
          <w:szCs w:val="32"/>
        </w:rPr>
        <w:t>3</w:t>
      </w:r>
      <w:r>
        <w:rPr>
          <w:rFonts w:hint="eastAsia" w:eastAsia="方正仿宋_GBK"/>
          <w:szCs w:val="32"/>
        </w:rPr>
        <w:t>月</w:t>
      </w:r>
      <w:r>
        <w:rPr>
          <w:rFonts w:eastAsia="方正仿宋_GBK"/>
          <w:szCs w:val="32"/>
        </w:rPr>
        <w:t>1</w:t>
      </w:r>
      <w:r>
        <w:rPr>
          <w:rFonts w:hint="eastAsia" w:eastAsia="方正仿宋_GBK"/>
          <w:szCs w:val="32"/>
        </w:rPr>
        <w:t>日起、积极发展区域从</w:t>
      </w:r>
      <w:r>
        <w:rPr>
          <w:rFonts w:eastAsia="方正仿宋_GBK"/>
          <w:szCs w:val="32"/>
        </w:rPr>
        <w:t>2019</w:t>
      </w:r>
      <w:r>
        <w:rPr>
          <w:rFonts w:hint="eastAsia" w:eastAsia="方正仿宋_GBK"/>
          <w:szCs w:val="32"/>
        </w:rPr>
        <w:t>年</w:t>
      </w:r>
      <w:r>
        <w:rPr>
          <w:rFonts w:eastAsia="方正仿宋_GBK"/>
          <w:szCs w:val="32"/>
        </w:rPr>
        <w:t>1</w:t>
      </w:r>
      <w:r>
        <w:rPr>
          <w:rFonts w:hint="eastAsia" w:eastAsia="方正仿宋_GBK"/>
          <w:szCs w:val="32"/>
        </w:rPr>
        <w:t>月</w:t>
      </w:r>
      <w:r>
        <w:rPr>
          <w:rFonts w:eastAsia="方正仿宋_GBK"/>
          <w:szCs w:val="32"/>
        </w:rPr>
        <w:t>1</w:t>
      </w:r>
      <w:r>
        <w:rPr>
          <w:rFonts w:hint="eastAsia" w:eastAsia="方正仿宋_GBK"/>
          <w:szCs w:val="32"/>
        </w:rPr>
        <w:t>日起，鼓励发展区域从</w:t>
      </w:r>
      <w:r>
        <w:rPr>
          <w:rFonts w:eastAsia="方正仿宋_GBK"/>
          <w:szCs w:val="32"/>
        </w:rPr>
        <w:t>2020</w:t>
      </w:r>
      <w:r>
        <w:rPr>
          <w:rFonts w:hint="eastAsia" w:eastAsia="方正仿宋_GBK"/>
          <w:szCs w:val="32"/>
        </w:rPr>
        <w:t>年</w:t>
      </w:r>
      <w:r>
        <w:rPr>
          <w:rFonts w:eastAsia="方正仿宋_GBK"/>
          <w:szCs w:val="32"/>
        </w:rPr>
        <w:t>1</w:t>
      </w:r>
      <w:r>
        <w:rPr>
          <w:rFonts w:hint="eastAsia" w:eastAsia="方正仿宋_GBK"/>
          <w:szCs w:val="32"/>
        </w:rPr>
        <w:t>月</w:t>
      </w:r>
      <w:r>
        <w:rPr>
          <w:rFonts w:eastAsia="方正仿宋_GBK"/>
          <w:szCs w:val="32"/>
        </w:rPr>
        <w:t>1</w:t>
      </w:r>
      <w:r>
        <w:rPr>
          <w:rFonts w:hint="eastAsia" w:eastAsia="方正仿宋_GBK"/>
          <w:szCs w:val="32"/>
        </w:rPr>
        <w:t>日起，对明确要求采用装配式建筑或装配式建造方式的新立项项目，在初步设计报建时要明确装配率或装配式建造等相应技术内容。各区县城乡建设部门要积极落实装配式建筑工程项目。</w:t>
      </w:r>
      <w:r>
        <w:rPr>
          <w:rFonts w:eastAsia="方正仿宋_GBK"/>
          <w:szCs w:val="32"/>
        </w:rPr>
        <w:t>2018</w:t>
      </w:r>
      <w:r>
        <w:rPr>
          <w:rFonts w:hint="eastAsia" w:eastAsia="方正仿宋_GBK"/>
          <w:szCs w:val="32"/>
        </w:rPr>
        <w:t>年装配式建筑重点推进区域各区应分别启动建设</w:t>
      </w:r>
      <w:r>
        <w:rPr>
          <w:rFonts w:eastAsia="方正仿宋_GBK"/>
          <w:szCs w:val="32"/>
        </w:rPr>
        <w:t>10</w:t>
      </w:r>
      <w:r>
        <w:rPr>
          <w:rFonts w:hint="eastAsia" w:eastAsia="方正仿宋_GBK"/>
          <w:szCs w:val="32"/>
        </w:rPr>
        <w:t>万平方米以上装配式建筑，两江新区应启动建设</w:t>
      </w:r>
      <w:r>
        <w:rPr>
          <w:rFonts w:eastAsia="方正仿宋_GBK"/>
          <w:szCs w:val="32"/>
        </w:rPr>
        <w:t>30</w:t>
      </w:r>
      <w:r>
        <w:rPr>
          <w:rFonts w:hint="eastAsia" w:eastAsia="方正仿宋_GBK"/>
          <w:szCs w:val="32"/>
        </w:rPr>
        <w:t>万平方米以上装配式建筑，积极发展区域各区应分别启动建设</w:t>
      </w:r>
      <w:r>
        <w:rPr>
          <w:rFonts w:eastAsia="方正仿宋_GBK"/>
          <w:szCs w:val="32"/>
        </w:rPr>
        <w:t>1</w:t>
      </w:r>
      <w:r>
        <w:rPr>
          <w:rFonts w:hint="eastAsia" w:eastAsia="方正仿宋_GBK"/>
          <w:szCs w:val="32"/>
        </w:rPr>
        <w:t>个以上装配式建筑示范工程项目。各区县城乡建设部门要围绕实施装配式建筑增强服务意识，主动对项目实施单位开展精准服务，加强技术指导和帮扶，切实解决项目推进中的问题和困难。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黑体_GBK"/>
          <w:szCs w:val="32"/>
        </w:rPr>
      </w:pPr>
      <w:r>
        <w:rPr>
          <w:rFonts w:hint="eastAsia" w:eastAsia="方正黑体_GBK"/>
          <w:szCs w:val="32"/>
        </w:rPr>
        <w:t>二、做好设计管理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szCs w:val="32"/>
        </w:rPr>
      </w:pPr>
      <w:r>
        <w:rPr>
          <w:rFonts w:hint="eastAsia" w:eastAsia="方正仿宋_GBK"/>
          <w:szCs w:val="32"/>
        </w:rPr>
        <w:t>装配式建筑工程项目和采用装配式建造方式的市政设施项目在设计阶段应采用建筑信息模型（</w:t>
      </w:r>
      <w:r>
        <w:rPr>
          <w:rFonts w:eastAsia="方正仿宋_GBK"/>
          <w:szCs w:val="32"/>
        </w:rPr>
        <w:t>BIM</w:t>
      </w:r>
      <w:r>
        <w:rPr>
          <w:rFonts w:hint="eastAsia" w:eastAsia="方正仿宋_GBK"/>
          <w:szCs w:val="32"/>
        </w:rPr>
        <w:t>）技术。建筑工程项目装配率不低于</w:t>
      </w:r>
      <w:r>
        <w:rPr>
          <w:rFonts w:eastAsia="方正仿宋_GBK"/>
          <w:szCs w:val="32"/>
        </w:rPr>
        <w:t>50%</w:t>
      </w:r>
      <w:r>
        <w:rPr>
          <w:rFonts w:hint="eastAsia" w:eastAsia="方正仿宋_GBK"/>
          <w:szCs w:val="32"/>
        </w:rPr>
        <w:t>，装配率具体计算应执行《重庆市装配式建筑装配率计算细则（试行）》，主体结构部分的得分不低于</w:t>
      </w:r>
      <w:r>
        <w:rPr>
          <w:rFonts w:eastAsia="方正仿宋_GBK"/>
          <w:szCs w:val="32"/>
        </w:rPr>
        <w:t>20</w:t>
      </w:r>
      <w:r>
        <w:rPr>
          <w:rFonts w:hint="eastAsia" w:eastAsia="方正仿宋_GBK"/>
          <w:szCs w:val="32"/>
        </w:rPr>
        <w:t>分，围护墙和内隔墙部分的得分不低于</w:t>
      </w:r>
      <w:r>
        <w:rPr>
          <w:rFonts w:eastAsia="方正仿宋_GBK"/>
          <w:szCs w:val="32"/>
        </w:rPr>
        <w:t>10</w:t>
      </w:r>
      <w:r>
        <w:rPr>
          <w:rFonts w:hint="eastAsia" w:eastAsia="方正仿宋_GBK"/>
          <w:szCs w:val="32"/>
        </w:rPr>
        <w:t>分，采用全装修。设计深度应达到相关技术规定要求。设计审查时，建设单位应提交装配式建筑专篇，建筑工程项目还应进行装配率计算。凡装配式建筑专篇的设计深度或装配率计算</w:t>
      </w:r>
      <w:r>
        <w:rPr>
          <w:rFonts w:eastAsia="方正仿宋_GBK"/>
          <w:szCs w:val="32"/>
        </w:rPr>
        <w:t>、装配式建筑预评价</w:t>
      </w:r>
      <w:r>
        <w:rPr>
          <w:rFonts w:hint="eastAsia" w:eastAsia="方正仿宋_GBK"/>
          <w:szCs w:val="32"/>
        </w:rPr>
        <w:t>达不到规定要求的，城乡建设部门不得批复初步设计，施工图审查机构不得出具施工图审查合格</w:t>
      </w:r>
      <w:r>
        <w:rPr>
          <w:rFonts w:eastAsia="方正仿宋_GBK"/>
          <w:szCs w:val="32"/>
        </w:rPr>
        <w:t>书</w:t>
      </w:r>
      <w:r>
        <w:rPr>
          <w:rFonts w:hint="eastAsia" w:eastAsia="方正仿宋_GBK"/>
          <w:szCs w:val="32"/>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黑体_GBK"/>
          <w:szCs w:val="32"/>
        </w:rPr>
      </w:pPr>
      <w:r>
        <w:rPr>
          <w:rFonts w:hint="eastAsia" w:eastAsia="方正黑体_GBK"/>
          <w:szCs w:val="32"/>
        </w:rPr>
        <w:t>三、规范招投标管理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Cs w:val="32"/>
        </w:rPr>
      </w:pPr>
      <w:r>
        <w:rPr>
          <w:rFonts w:hint="eastAsia" w:eastAsia="方正仿宋_GBK"/>
          <w:szCs w:val="32"/>
        </w:rPr>
        <w:t>国有资金占主导地位的装配式建筑工程项目，其招投标活动可依据国办发〔</w:t>
      </w:r>
      <w:r>
        <w:rPr>
          <w:rFonts w:eastAsia="方正仿宋_GBK"/>
          <w:szCs w:val="32"/>
        </w:rPr>
        <w:t>2016</w:t>
      </w:r>
      <w:r>
        <w:rPr>
          <w:rFonts w:hint="eastAsia" w:eastAsia="方正仿宋_GBK"/>
          <w:szCs w:val="32"/>
        </w:rPr>
        <w:t>〕</w:t>
      </w:r>
      <w:r>
        <w:rPr>
          <w:rFonts w:eastAsia="方正仿宋_GBK"/>
          <w:szCs w:val="32"/>
        </w:rPr>
        <w:t>71</w:t>
      </w:r>
      <w:r>
        <w:rPr>
          <w:rFonts w:hint="eastAsia" w:eastAsia="方正仿宋_GBK"/>
          <w:szCs w:val="32"/>
        </w:rPr>
        <w:t>号文件精神按照技术复杂类工程项目采取邀请招标或资格预审方式公开招标。装配式建筑工程项目运距</w:t>
      </w:r>
      <w:r>
        <w:rPr>
          <w:rFonts w:eastAsia="方正仿宋_GBK"/>
          <w:szCs w:val="32"/>
        </w:rPr>
        <w:t>100</w:t>
      </w:r>
      <w:r>
        <w:rPr>
          <w:rFonts w:hint="eastAsia" w:eastAsia="方正仿宋_GBK"/>
          <w:szCs w:val="32"/>
        </w:rPr>
        <w:t>公里范围内具备预制构部件生产能力的施工总承包企业不足</w:t>
      </w:r>
      <w:r>
        <w:rPr>
          <w:rFonts w:eastAsia="方正仿宋_GBK"/>
          <w:szCs w:val="32"/>
        </w:rPr>
        <w:t>7</w:t>
      </w:r>
      <w:r>
        <w:rPr>
          <w:rFonts w:hint="eastAsia" w:eastAsia="方正仿宋_GBK"/>
          <w:szCs w:val="32"/>
        </w:rPr>
        <w:t>家（含</w:t>
      </w:r>
      <w:r>
        <w:rPr>
          <w:rFonts w:eastAsia="方正仿宋_GBK"/>
          <w:szCs w:val="32"/>
        </w:rPr>
        <w:t>7</w:t>
      </w:r>
      <w:r>
        <w:rPr>
          <w:rFonts w:hint="eastAsia" w:eastAsia="方正仿宋_GBK"/>
          <w:szCs w:val="32"/>
        </w:rPr>
        <w:t>家）时，可采用邀请招标。采用资格预审方式公开招标的，招标人可根据项目情况将投标人具备工厂化生产基地和相应预制构部件的生产及安装能力、类似装配式建筑工程业绩、信息化管理水平和</w:t>
      </w:r>
      <w:r>
        <w:rPr>
          <w:rFonts w:eastAsia="方正仿宋_GBK"/>
          <w:szCs w:val="32"/>
        </w:rPr>
        <w:t>BIM</w:t>
      </w:r>
      <w:r>
        <w:rPr>
          <w:rFonts w:hint="eastAsia" w:eastAsia="方正仿宋_GBK"/>
          <w:szCs w:val="32"/>
        </w:rPr>
        <w:t>技术应用等作为资格审查条件。联合体投标的，投标文件应附分工明确的联合体协议，联合体各方应共同与招标人签订合同，就中标项目向招标人承担连带责任。装配式建筑工程项目原则上应采用设计施工一体化为核心的工程总承包模式。装配式建筑工程项目评标办法宜采用综合评估法，可根据项目特点将装配式建筑工程项目技术实施方案、预制构部件工厂生产能力、装配式建筑工程业绩等作为评审因素。</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楷体"/>
          <w:szCs w:val="32"/>
        </w:rPr>
      </w:pPr>
      <w:r>
        <w:rPr>
          <w:rFonts w:hint="eastAsia" w:eastAsia="方正黑体_GBK"/>
          <w:szCs w:val="32"/>
        </w:rPr>
        <w:t>四、优化质量安全管理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eastAsia="方正仿宋_GBK"/>
          <w:szCs w:val="32"/>
        </w:rPr>
      </w:pPr>
      <w:r>
        <w:rPr>
          <w:rFonts w:hint="eastAsia" w:eastAsia="方正仿宋_GBK"/>
          <w:szCs w:val="32"/>
        </w:rPr>
        <w:t>落实好装配式建筑参建各方的质量安全责任，创新装配式建筑项目组织模式和监管模式，推进建筑信息模型（BIM）技术全过程应用。设计单位要强化设计对建筑结构、机电设备、部品部件、装配施工、装饰装修的统筹。部品部件生产单位应建立部品部件信息管理平台，对生产制作过程按规定全程进行信息化管理，建立质量追溯信息系统。施工单位要建立装配式建筑质量管理标准化制度和评价体系，推进质量行为管理标准化和工程实体质量控制标准化，实现安全行为规范化和安全管理标准化。建设和监理等相关方应采用驻厂监造方式加强部品部件生产质量管控。工程质量安全监督机构应加强装配式建筑工程项目建设过程中的质量安全监督检查，质量监督要延伸到工厂，不断提高监管执法的标准化、规范化、信息化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黑体_GBK"/>
          <w:szCs w:val="32"/>
        </w:rPr>
      </w:pPr>
      <w:r>
        <w:rPr>
          <w:rFonts w:hint="eastAsia" w:eastAsia="方正黑体_GBK"/>
          <w:szCs w:val="32"/>
        </w:rPr>
        <w:t>五、加大支持力度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Cs w:val="32"/>
        </w:rPr>
      </w:pPr>
      <w:r>
        <w:rPr>
          <w:rFonts w:hint="eastAsia" w:eastAsia="方正仿宋_GBK"/>
          <w:szCs w:val="32"/>
        </w:rPr>
        <w:t>把装配式建筑工程项目作为建设领域放管服改革的重点。对已取得市级或国家级装配式建筑示范基地的生产企业，申请房建、市政总承包二级及以下以及建筑行业（建筑工程）、市政行业（道路、桥梁）乙级及以下专业资质、轻型钢结构工程乙级设计专项资质时实行告知承诺制审批改革试点，但仅限于承接装配式建筑工程项目或装配式市政工程项目。企业在有效期内提交符合审批条件的材料后，方可承揽相应资质范围内的其他工程。积极支持装配式建筑生产基地建设，协助落实用地，并在设计审批、施工许可、验收备案等环节开通“绿色通道”，加快生产基地建设进度。对自愿实施装配式建筑的开发项目，可降低项目资本金和预售资金的监管额度。对突破现行技术标准或现行技术标准不能覆盖的项目，建设单位可采取专项技术论证的方式确定技术要求及验收依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eastAsia="方正仿宋_GBK"/>
          <w:szCs w:val="32"/>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eastAsia="方正仿宋_GBK"/>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4640" w:firstLineChars="1450"/>
        <w:textAlignment w:val="auto"/>
        <w:rPr>
          <w:rFonts w:eastAsia="方正仿宋_GBK"/>
          <w:szCs w:val="32"/>
        </w:rPr>
      </w:pPr>
      <w:r>
        <w:rPr>
          <w:rFonts w:hint="eastAsia" w:eastAsia="方正仿宋_GBK"/>
          <w:szCs w:val="32"/>
        </w:rPr>
        <w:t xml:space="preserve">  重庆市城乡建设委员会</w:t>
      </w:r>
    </w:p>
    <w:p>
      <w:pPr>
        <w:keepNext w:val="0"/>
        <w:keepLines w:val="0"/>
        <w:pageBreakBefore w:val="0"/>
        <w:widowControl w:val="0"/>
        <w:kinsoku/>
        <w:wordWrap/>
        <w:overflowPunct/>
        <w:topLinePunct w:val="0"/>
        <w:autoSpaceDE/>
        <w:autoSpaceDN/>
        <w:bidi w:val="0"/>
        <w:adjustRightInd w:val="0"/>
        <w:snapToGrid w:val="0"/>
        <w:spacing w:line="560" w:lineRule="exact"/>
        <w:ind w:right="480" w:firstLine="5120" w:firstLineChars="1600"/>
        <w:textAlignment w:val="auto"/>
        <w:rPr>
          <w:rFonts w:eastAsia="方正仿宋_GBK"/>
          <w:szCs w:val="32"/>
        </w:rPr>
      </w:pPr>
      <w:r>
        <w:rPr>
          <w:rFonts w:hint="eastAsia" w:eastAsia="方正仿宋_GBK"/>
          <w:szCs w:val="32"/>
        </w:rPr>
        <w:t xml:space="preserve">  </w:t>
      </w:r>
      <w:r>
        <w:rPr>
          <w:rFonts w:eastAsia="方正仿宋_GBK"/>
          <w:szCs w:val="32"/>
        </w:rPr>
        <w:t>2018</w:t>
      </w:r>
      <w:r>
        <w:rPr>
          <w:rFonts w:hint="eastAsia" w:eastAsia="方正仿宋_GBK"/>
          <w:szCs w:val="32"/>
        </w:rPr>
        <w:t>年4月3日</w:t>
      </w:r>
    </w:p>
    <w:p>
      <w:pPr>
        <w:adjustRightInd w:val="0"/>
        <w:snapToGrid w:val="0"/>
        <w:spacing w:line="520" w:lineRule="atLeast"/>
        <w:ind w:firstLine="640" w:firstLineChars="200"/>
        <w:rPr>
          <w:rFonts w:hint="eastAsia" w:eastAsia="方正仿宋_GBK"/>
          <w:szCs w:val="32"/>
        </w:rPr>
      </w:pPr>
    </w:p>
    <w:p>
      <w:pPr>
        <w:adjustRightInd w:val="0"/>
        <w:snapToGrid w:val="0"/>
        <w:spacing w:line="520" w:lineRule="atLeast"/>
        <w:ind w:firstLine="640" w:firstLineChars="200"/>
        <w:rPr>
          <w:rFonts w:hint="eastAsia" w:eastAsia="方正仿宋_GBK"/>
          <w:szCs w:val="32"/>
        </w:rPr>
      </w:pPr>
    </w:p>
    <w:p>
      <w:pPr>
        <w:adjustRightInd w:val="0"/>
        <w:snapToGrid w:val="0"/>
        <w:spacing w:line="520" w:lineRule="atLeast"/>
        <w:ind w:firstLine="640" w:firstLineChars="200"/>
        <w:rPr>
          <w:rFonts w:hint="eastAsia" w:eastAsia="方正仿宋_GBK"/>
          <w:szCs w:val="32"/>
        </w:rPr>
      </w:pPr>
      <w:bookmarkStart w:id="0" w:name="_GoBack"/>
      <w:bookmarkEnd w:id="0"/>
    </w:p>
    <w:p>
      <w:pPr>
        <w:spacing w:line="600" w:lineRule="exact"/>
        <w:rPr>
          <w:rFonts w:hint="eastAsia" w:ascii="方正华隶简体" w:eastAsia="方正华隶简体"/>
          <w:sz w:val="36"/>
          <w:szCs w:val="36"/>
        </w:rPr>
      </w:pPr>
    </w:p>
    <w:p>
      <w:pPr>
        <w:spacing w:line="400" w:lineRule="atLeast"/>
        <w:rPr>
          <w:rFonts w:hint="eastAsia" w:ascii="方正仿宋_GBK"/>
          <w:sz w:val="30"/>
          <w:szCs w:val="30"/>
        </w:rPr>
      </w:pPr>
    </w:p>
    <w:p>
      <w:pPr>
        <w:pBdr>
          <w:top w:val="single" w:color="auto" w:sz="6" w:space="1"/>
          <w:bottom w:val="single" w:color="auto" w:sz="6" w:space="1"/>
        </w:pBdr>
        <w:spacing w:line="500" w:lineRule="atLeast"/>
      </w:pPr>
      <w:r>
        <w:rPr>
          <w:rFonts w:hint="eastAsia" w:ascii="方正仿宋_GBK" w:eastAsia="方正仿宋_GBK" w:cs="方正仿宋_GBK"/>
          <w:sz w:val="28"/>
          <w:szCs w:val="28"/>
        </w:rPr>
        <w:t xml:space="preserve">  重庆市城乡建委办公室                      2018年4月4日印发</w:t>
      </w:r>
    </w:p>
    <w:p>
      <w:pPr>
        <w:spacing w:line="20" w:lineRule="exact"/>
        <w:jc w:val="left"/>
        <w:rPr>
          <w:rFonts w:ascii="Times New Roman" w:hAnsi="Times New Roman" w:eastAsia="方正仿宋_GBK"/>
          <w:kern w:val="0"/>
          <w:sz w:val="32"/>
          <w:szCs w:val="32"/>
          <w:shd w:val="clear" w:color="auto" w:fill="FFFFFF"/>
        </w:rPr>
      </w:pPr>
    </w:p>
    <w:sectPr>
      <w:headerReference r:id="rId3" w:type="default"/>
      <w:footerReference r:id="rId4" w:type="default"/>
      <w:type w:val="continuous"/>
      <w:pgSz w:w="11906" w:h="16838"/>
      <w:pgMar w:top="1962" w:right="1474" w:bottom="1848" w:left="1587" w:header="851" w:footer="992" w:gutter="0"/>
      <w:pgNumType w:fmt="numberInDash" w:start="1"/>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华隶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7296"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9"/>
      <w:ind w:left="7296"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141605</wp:posOffset>
              </wp:positionV>
              <wp:extent cx="8787765" cy="0"/>
              <wp:effectExtent l="0" t="0" r="33020" b="19050"/>
              <wp:wrapNone/>
              <wp:docPr id="11" name="直接连接符 11"/>
              <wp:cNvGraphicFramePr/>
              <a:graphic xmlns:a="http://schemas.openxmlformats.org/drawingml/2006/main">
                <a:graphicData uri="http://schemas.microsoft.com/office/word/2010/wordprocessingShape">
                  <wps:wsp>
                    <wps:cNvCnPr/>
                    <wps:spPr>
                      <a:xfrm>
                        <a:off x="0" y="0"/>
                        <a:ext cx="87877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7pt;margin-top:11.15pt;height:0pt;width:691.95pt;z-index:251660288;mso-width-relative:page;mso-height-relative:page;" filled="f" stroked="t" coordsize="21600,21600" o:gfxdata="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TagEXVAAAA&#10;CQEAAA8AAAAAAAAAAQAgAAAAIgAAAGRycy9kb3ducmV2LnhtbFBLAQIUABQAAAAIAIdO4kAbVgG7&#10;5wEAALQDAAAOAAAAAAAAAAEAIAAAACQBAABkcnMvZTJvRG9jLnhtbFBLBQYAAAAABgAGAFkBAAB9&#10;BQ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lang w:eastAsia="zh-Hans"/>
      </w:rPr>
      <w:t>重庆市住房和城乡建设委员会发布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456565</wp:posOffset>
              </wp:positionV>
              <wp:extent cx="8763635" cy="0"/>
              <wp:effectExtent l="0" t="0" r="19050" b="19050"/>
              <wp:wrapNone/>
              <wp:docPr id="2" name="直接连接符 2"/>
              <wp:cNvGraphicFramePr/>
              <a:graphic xmlns:a="http://schemas.openxmlformats.org/drawingml/2006/main">
                <a:graphicData uri="http://schemas.microsoft.com/office/word/2010/wordprocessingShape">
                  <wps:wsp>
                    <wps:cNvCnPr/>
                    <wps:spPr>
                      <a:xfrm>
                        <a:off x="0" y="0"/>
                        <a:ext cx="8763379"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5.95pt;height:0pt;width:690.05pt;z-index:251659264;mso-width-relative:page;mso-height-relative:page;" filled="f" stroked="t" coordsize="21600,21600" o:gfxdata="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wmOirSAAAABwEA&#10;AA8AAAAAAAAAAQAgAAAAIgAAAGRycy9kb3ducmV2LnhtbFBLAQIUABQAAAAIAIdO4kC8aCgS5wEA&#10;ALIDAAAOAAAAAAAAAAEAIAAAACEBAABkcnMvZTJvRG9jLnhtbFBLBQYAAAAABgAGAFkBAAB6BQAA&#10;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重庆市住房和城乡建设委员会行政规范性文件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FhNDVkNDY3NTlmYjcyMzhhMWVhNTFiNzlmYTE3MjIifQ=="/>
  </w:docVars>
  <w:rsids>
    <w:rsidRoot w:val="00172A27"/>
    <w:rsid w:val="000C5179"/>
    <w:rsid w:val="00172A27"/>
    <w:rsid w:val="001E18B2"/>
    <w:rsid w:val="001F3EDA"/>
    <w:rsid w:val="00245ED4"/>
    <w:rsid w:val="004C6E9B"/>
    <w:rsid w:val="004D51F0"/>
    <w:rsid w:val="00767A35"/>
    <w:rsid w:val="007B0368"/>
    <w:rsid w:val="009A7B71"/>
    <w:rsid w:val="00A13115"/>
    <w:rsid w:val="00B43E9C"/>
    <w:rsid w:val="00BB2CC3"/>
    <w:rsid w:val="00D0000D"/>
    <w:rsid w:val="00D538BB"/>
    <w:rsid w:val="00D63A21"/>
    <w:rsid w:val="00D92293"/>
    <w:rsid w:val="00DF54B0"/>
    <w:rsid w:val="00FF6920"/>
    <w:rsid w:val="019E71BD"/>
    <w:rsid w:val="01E93D58"/>
    <w:rsid w:val="04B679C3"/>
    <w:rsid w:val="05F07036"/>
    <w:rsid w:val="06E00104"/>
    <w:rsid w:val="071F6BD0"/>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rPr>
  </w:style>
  <w:style w:type="paragraph" w:styleId="4">
    <w:name w:val="annotation text"/>
    <w:basedOn w:val="1"/>
    <w:link w:val="39"/>
    <w:qFormat/>
    <w:uiPriority w:val="99"/>
    <w:pPr>
      <w:jc w:val="left"/>
    </w:pPr>
  </w:style>
  <w:style w:type="paragraph" w:styleId="5">
    <w:name w:val="Body Text"/>
    <w:basedOn w:val="1"/>
    <w:link w:val="23"/>
    <w:qFormat/>
    <w:uiPriority w:val="0"/>
    <w:pPr>
      <w:widowControl/>
      <w:jc w:val="left"/>
    </w:pPr>
    <w:rPr>
      <w:rFonts w:ascii="Times New Roman" w:hAnsi="Times New Roman" w:eastAsia="仿宋_GB2312" w:cs="Times New Roman"/>
      <w:b/>
      <w:bCs/>
      <w:sz w:val="44"/>
    </w:rPr>
  </w:style>
  <w:style w:type="paragraph" w:styleId="6">
    <w:name w:val="Date"/>
    <w:basedOn w:val="1"/>
    <w:next w:val="1"/>
    <w:link w:val="45"/>
    <w:unhideWhenUsed/>
    <w:qFormat/>
    <w:uiPriority w:val="99"/>
    <w:pPr>
      <w:ind w:left="100" w:leftChars="2500"/>
    </w:pPr>
    <w:rPr>
      <w:rFonts w:ascii="Calibri" w:hAnsi="Calibri" w:eastAsia="宋体" w:cs="Times New Roman"/>
      <w:szCs w:val="22"/>
    </w:rPr>
  </w:style>
  <w:style w:type="paragraph" w:styleId="7">
    <w:name w:val="Balloon Text"/>
    <w:basedOn w:val="1"/>
    <w:link w:val="19"/>
    <w:uiPriority w:val="99"/>
    <w:rPr>
      <w:sz w:val="18"/>
      <w:szCs w:val="18"/>
    </w:rPr>
  </w:style>
  <w:style w:type="paragraph" w:styleId="8">
    <w:name w:val="footer"/>
    <w:basedOn w:val="1"/>
    <w:link w:val="20"/>
    <w:qFormat/>
    <w:uiPriority w:val="99"/>
    <w:pPr>
      <w:tabs>
        <w:tab w:val="center" w:pos="4153"/>
        <w:tab w:val="right" w:pos="8306"/>
      </w:tabs>
      <w:snapToGrid w:val="0"/>
      <w:jc w:val="left"/>
    </w:pPr>
    <w:rPr>
      <w:sz w:val="18"/>
    </w:rPr>
  </w:style>
  <w:style w:type="paragraph" w:styleId="9">
    <w:name w:val="header"/>
    <w:basedOn w:val="1"/>
    <w:link w:val="2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link w:val="36"/>
    <w:qFormat/>
    <w:uiPriority w:val="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4"/>
    <w:next w:val="4"/>
    <w:link w:val="37"/>
    <w:unhideWhenUsed/>
    <w:qFormat/>
    <w:uiPriority w:val="99"/>
    <w:rPr>
      <w:rFonts w:ascii="Times New Roman" w:hAnsi="Times New Roman" w:eastAsia="宋体" w:cs="Times New Roman"/>
      <w:b/>
      <w:bCs/>
      <w:kern w:val="0"/>
      <w:sz w:val="20"/>
      <w:szCs w:val="20"/>
    </w:rPr>
  </w:style>
  <w:style w:type="character" w:styleId="15">
    <w:name w:val="Strong"/>
    <w:basedOn w:val="14"/>
    <w:qFormat/>
    <w:uiPriority w:val="22"/>
    <w:rPr>
      <w:b/>
      <w:bCs/>
    </w:rPr>
  </w:style>
  <w:style w:type="character" w:styleId="16">
    <w:name w:val="Hyperlink"/>
    <w:unhideWhenUsed/>
    <w:qFormat/>
    <w:uiPriority w:val="99"/>
    <w:rPr>
      <w:color w:val="0000FF"/>
      <w:u w:val="single"/>
    </w:rPr>
  </w:style>
  <w:style w:type="character" w:styleId="17">
    <w:name w:val="annotation reference"/>
    <w:basedOn w:val="14"/>
    <w:qFormat/>
    <w:uiPriority w:val="99"/>
    <w:rPr>
      <w:sz w:val="21"/>
      <w:szCs w:val="21"/>
    </w:rPr>
  </w:style>
  <w:style w:type="paragraph" w:customStyle="1" w:styleId="18">
    <w:name w:val="p0"/>
    <w:basedOn w:val="1"/>
    <w:qFormat/>
    <w:uiPriority w:val="0"/>
    <w:pPr>
      <w:widowControl/>
    </w:pPr>
    <w:rPr>
      <w:rFonts w:ascii="Calibri" w:hAnsi="Calibri" w:eastAsia="宋体" w:cs="宋体"/>
      <w:kern w:val="0"/>
      <w:szCs w:val="32"/>
    </w:rPr>
  </w:style>
  <w:style w:type="character" w:customStyle="1" w:styleId="19">
    <w:name w:val="批注框文本 字符"/>
    <w:basedOn w:val="14"/>
    <w:link w:val="7"/>
    <w:qFormat/>
    <w:uiPriority w:val="99"/>
    <w:rPr>
      <w:rFonts w:asciiTheme="minorHAnsi" w:hAnsiTheme="minorHAnsi" w:eastAsiaTheme="minorEastAsia" w:cstheme="minorBidi"/>
      <w:kern w:val="2"/>
      <w:sz w:val="18"/>
      <w:szCs w:val="18"/>
    </w:rPr>
  </w:style>
  <w:style w:type="character" w:customStyle="1" w:styleId="20">
    <w:name w:val="页脚 字符"/>
    <w:link w:val="8"/>
    <w:qFormat/>
    <w:uiPriority w:val="99"/>
    <w:rPr>
      <w:rFonts w:asciiTheme="minorHAnsi" w:hAnsiTheme="minorHAnsi" w:eastAsiaTheme="minorEastAsia" w:cstheme="minorBidi"/>
      <w:kern w:val="2"/>
      <w:sz w:val="18"/>
      <w:szCs w:val="24"/>
    </w:rPr>
  </w:style>
  <w:style w:type="character" w:customStyle="1" w:styleId="21">
    <w:name w:val="页眉 字符"/>
    <w:link w:val="9"/>
    <w:qFormat/>
    <w:uiPriority w:val="99"/>
    <w:rPr>
      <w:rFonts w:asciiTheme="minorHAnsi" w:hAnsiTheme="minorHAnsi" w:eastAsiaTheme="minorEastAsia" w:cstheme="minorBidi"/>
      <w:kern w:val="2"/>
      <w:sz w:val="18"/>
      <w:szCs w:val="24"/>
    </w:rPr>
  </w:style>
  <w:style w:type="character" w:customStyle="1" w:styleId="22">
    <w:name w:val="正文文本 字符"/>
    <w:basedOn w:val="14"/>
    <w:qFormat/>
    <w:uiPriority w:val="0"/>
    <w:rPr>
      <w:rFonts w:asciiTheme="minorHAnsi" w:hAnsiTheme="minorHAnsi" w:eastAsiaTheme="minorEastAsia" w:cstheme="minorBidi"/>
      <w:kern w:val="2"/>
      <w:sz w:val="21"/>
      <w:szCs w:val="24"/>
    </w:rPr>
  </w:style>
  <w:style w:type="character" w:customStyle="1" w:styleId="23">
    <w:name w:val="正文文本 字符1"/>
    <w:link w:val="5"/>
    <w:qFormat/>
    <w:uiPriority w:val="0"/>
    <w:rPr>
      <w:rFonts w:eastAsia="仿宋_GB2312"/>
      <w:b/>
      <w:bCs/>
      <w:kern w:val="2"/>
      <w:sz w:val="44"/>
      <w:szCs w:val="24"/>
    </w:rPr>
  </w:style>
  <w:style w:type="character" w:customStyle="1" w:styleId="24">
    <w:name w:val="页眉 Char"/>
    <w:qFormat/>
    <w:uiPriority w:val="99"/>
    <w:rPr>
      <w:rFonts w:ascii="Calibri" w:hAnsi="Calibri" w:eastAsia="宋体" w:cs="Times New Roman"/>
      <w:sz w:val="18"/>
      <w:szCs w:val="18"/>
    </w:rPr>
  </w:style>
  <w:style w:type="character" w:customStyle="1" w:styleId="25">
    <w:name w:val="页脚 Char"/>
    <w:qFormat/>
    <w:uiPriority w:val="99"/>
    <w:rPr>
      <w:rFonts w:ascii="Calibri" w:hAnsi="Calibri" w:eastAsia="宋体" w:cs="Times New Roman"/>
      <w:sz w:val="18"/>
      <w:szCs w:val="18"/>
    </w:rPr>
  </w:style>
  <w:style w:type="paragraph" w:customStyle="1" w:styleId="26">
    <w:name w:val="列出段落1"/>
    <w:basedOn w:val="1"/>
    <w:qFormat/>
    <w:uiPriority w:val="0"/>
    <w:pPr>
      <w:ind w:firstLine="420" w:firstLineChars="200"/>
    </w:pPr>
    <w:rPr>
      <w:rFonts w:ascii="Calibri" w:hAnsi="Calibri" w:eastAsia="宋体" w:cs="Times New Roman"/>
    </w:rPr>
  </w:style>
  <w:style w:type="character" w:customStyle="1" w:styleId="27">
    <w:name w:val="正文文本 (2)_"/>
    <w:link w:val="28"/>
    <w:qFormat/>
    <w:uiPriority w:val="99"/>
    <w:rPr>
      <w:rFonts w:ascii="宋体" w:cs="宋体"/>
      <w:spacing w:val="30"/>
      <w:sz w:val="28"/>
      <w:szCs w:val="28"/>
      <w:shd w:val="clear" w:color="auto" w:fill="FFFFFF"/>
    </w:rPr>
  </w:style>
  <w:style w:type="paragraph" w:customStyle="1" w:styleId="28">
    <w:name w:val="正文文本 (2)1"/>
    <w:basedOn w:val="1"/>
    <w:link w:val="27"/>
    <w:qFormat/>
    <w:uiPriority w:val="99"/>
    <w:pPr>
      <w:shd w:val="clear" w:color="auto" w:fill="FFFFFF"/>
      <w:spacing w:before="720" w:after="840" w:line="240" w:lineRule="atLeast"/>
      <w:jc w:val="right"/>
    </w:pPr>
    <w:rPr>
      <w:rFonts w:ascii="宋体" w:hAnsi="Times New Roman" w:eastAsia="宋体" w:cs="宋体"/>
      <w:spacing w:val="30"/>
      <w:kern w:val="0"/>
      <w:sz w:val="28"/>
      <w:szCs w:val="28"/>
    </w:rPr>
  </w:style>
  <w:style w:type="character" w:customStyle="1" w:styleId="29">
    <w:name w:val="标题 #3_"/>
    <w:link w:val="30"/>
    <w:qFormat/>
    <w:uiPriority w:val="99"/>
    <w:rPr>
      <w:rFonts w:ascii="宋体" w:cs="宋体"/>
      <w:spacing w:val="-20"/>
      <w:sz w:val="42"/>
      <w:szCs w:val="42"/>
      <w:shd w:val="clear" w:color="auto" w:fill="FFFFFF"/>
    </w:rPr>
  </w:style>
  <w:style w:type="paragraph" w:customStyle="1" w:styleId="30">
    <w:name w:val="标题 #3"/>
    <w:basedOn w:val="1"/>
    <w:link w:val="29"/>
    <w:qFormat/>
    <w:uiPriority w:val="99"/>
    <w:pPr>
      <w:shd w:val="clear" w:color="auto" w:fill="FFFFFF"/>
      <w:spacing w:after="300" w:line="240" w:lineRule="atLeast"/>
      <w:jc w:val="center"/>
      <w:outlineLvl w:val="2"/>
    </w:pPr>
    <w:rPr>
      <w:rFonts w:ascii="宋体" w:hAnsi="Times New Roman" w:eastAsia="宋体" w:cs="宋体"/>
      <w:spacing w:val="-20"/>
      <w:kern w:val="0"/>
      <w:sz w:val="42"/>
      <w:szCs w:val="42"/>
    </w:rPr>
  </w:style>
  <w:style w:type="character" w:customStyle="1" w:styleId="31">
    <w:name w:val="标题 #4_"/>
    <w:link w:val="32"/>
    <w:qFormat/>
    <w:uiPriority w:val="99"/>
    <w:rPr>
      <w:rFonts w:ascii="宋体" w:cs="宋体"/>
      <w:b/>
      <w:bCs/>
      <w:spacing w:val="40"/>
      <w:sz w:val="30"/>
      <w:szCs w:val="30"/>
      <w:shd w:val="clear" w:color="auto" w:fill="FFFFFF"/>
    </w:rPr>
  </w:style>
  <w:style w:type="paragraph" w:customStyle="1" w:styleId="32">
    <w:name w:val="标题 #4"/>
    <w:basedOn w:val="1"/>
    <w:link w:val="31"/>
    <w:qFormat/>
    <w:uiPriority w:val="99"/>
    <w:pPr>
      <w:shd w:val="clear" w:color="auto" w:fill="FFFFFF"/>
      <w:spacing w:before="720" w:after="720" w:line="240" w:lineRule="atLeast"/>
      <w:jc w:val="center"/>
      <w:outlineLvl w:val="3"/>
    </w:pPr>
    <w:rPr>
      <w:rFonts w:ascii="宋体" w:hAnsi="Times New Roman" w:eastAsia="宋体" w:cs="宋体"/>
      <w:b/>
      <w:bCs/>
      <w:spacing w:val="40"/>
      <w:kern w:val="0"/>
      <w:sz w:val="30"/>
      <w:szCs w:val="30"/>
    </w:rPr>
  </w:style>
  <w:style w:type="character" w:customStyle="1" w:styleId="33">
    <w:name w:val="标题 #4 + 间距 3 pt"/>
    <w:qFormat/>
    <w:uiPriority w:val="99"/>
    <w:rPr>
      <w:rFonts w:ascii="宋体" w:eastAsia="宋体" w:cs="宋体"/>
      <w:b/>
      <w:bCs/>
      <w:spacing w:val="70"/>
      <w:sz w:val="30"/>
      <w:szCs w:val="30"/>
      <w:shd w:val="clear" w:color="auto" w:fill="FFFFFF"/>
    </w:rPr>
  </w:style>
  <w:style w:type="paragraph" w:customStyle="1" w:styleId="34">
    <w:name w:val="正文文本缩进 21"/>
    <w:basedOn w:val="1"/>
    <w:qFormat/>
    <w:uiPriority w:val="0"/>
    <w:pPr>
      <w:spacing w:after="120" w:line="480" w:lineRule="auto"/>
      <w:ind w:left="200" w:leftChars="200"/>
    </w:pPr>
    <w:rPr>
      <w:rFonts w:ascii="Calibri" w:hAnsi="Calibri" w:eastAsia="宋体" w:cs="Times New Roman"/>
    </w:rPr>
  </w:style>
  <w:style w:type="paragraph" w:customStyle="1" w:styleId="35">
    <w:name w:val="大标题"/>
    <w:basedOn w:val="11"/>
    <w:qFormat/>
    <w:uiPriority w:val="0"/>
    <w:pPr>
      <w:spacing w:line="600" w:lineRule="exact"/>
    </w:pPr>
    <w:rPr>
      <w:rFonts w:hint="eastAsia" w:ascii="仿宋_GB2312" w:hAnsi="仿宋_GB2312" w:eastAsia="方正小标宋_GBK" w:cs="仿宋_GB2312"/>
      <w:bCs w:val="0"/>
      <w:spacing w:val="8"/>
      <w:sz w:val="44"/>
      <w:shd w:val="clear" w:color="auto" w:fill="FFFFFF"/>
    </w:rPr>
  </w:style>
  <w:style w:type="character" w:customStyle="1" w:styleId="36">
    <w:name w:val="标题 字符"/>
    <w:basedOn w:val="14"/>
    <w:link w:val="11"/>
    <w:qFormat/>
    <w:uiPriority w:val="0"/>
    <w:rPr>
      <w:rFonts w:asciiTheme="majorHAnsi" w:hAnsiTheme="majorHAnsi" w:eastAsiaTheme="majorEastAsia" w:cstheme="majorBidi"/>
      <w:b/>
      <w:bCs/>
      <w:kern w:val="2"/>
      <w:sz w:val="32"/>
      <w:szCs w:val="32"/>
    </w:rPr>
  </w:style>
  <w:style w:type="character" w:customStyle="1" w:styleId="37">
    <w:name w:val="批注主题 字符"/>
    <w:link w:val="12"/>
    <w:qFormat/>
    <w:uiPriority w:val="99"/>
    <w:rPr>
      <w:b/>
      <w:bCs/>
    </w:rPr>
  </w:style>
  <w:style w:type="character" w:customStyle="1" w:styleId="38">
    <w:name w:val="批注文字 字符"/>
    <w:basedOn w:val="14"/>
    <w:semiHidden/>
    <w:qFormat/>
    <w:uiPriority w:val="99"/>
  </w:style>
  <w:style w:type="character" w:customStyle="1" w:styleId="39">
    <w:name w:val="批注文字 字符1"/>
    <w:basedOn w:val="14"/>
    <w:link w:val="4"/>
    <w:qFormat/>
    <w:uiPriority w:val="99"/>
    <w:rPr>
      <w:rFonts w:asciiTheme="minorHAnsi" w:hAnsiTheme="minorHAnsi" w:eastAsiaTheme="minorEastAsia" w:cstheme="minorBidi"/>
      <w:kern w:val="2"/>
      <w:sz w:val="21"/>
      <w:szCs w:val="24"/>
    </w:rPr>
  </w:style>
  <w:style w:type="character" w:customStyle="1" w:styleId="40">
    <w:name w:val="批注主题 字符1"/>
    <w:basedOn w:val="39"/>
    <w:qFormat/>
    <w:uiPriority w:val="0"/>
    <w:rPr>
      <w:rFonts w:asciiTheme="minorHAnsi" w:hAnsiTheme="minorHAnsi" w:eastAsiaTheme="minorEastAsia" w:cstheme="minorBidi"/>
      <w:b/>
      <w:bCs/>
      <w:kern w:val="2"/>
      <w:sz w:val="21"/>
      <w:szCs w:val="24"/>
    </w:rPr>
  </w:style>
  <w:style w:type="paragraph" w:styleId="41">
    <w:name w:val="List Paragraph"/>
    <w:basedOn w:val="1"/>
    <w:qFormat/>
    <w:uiPriority w:val="34"/>
    <w:pPr>
      <w:ind w:firstLine="420" w:firstLineChars="200"/>
    </w:pPr>
    <w:rPr>
      <w:rFonts w:ascii="Calibri" w:hAnsi="Calibri" w:eastAsia="宋体" w:cs="Times New Roman"/>
      <w:szCs w:val="22"/>
    </w:rPr>
  </w:style>
  <w:style w:type="paragraph" w:customStyle="1" w:styleId="42">
    <w:name w:val="emtidy-3"/>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43">
    <w:name w:val="Default"/>
    <w:qFormat/>
    <w:uiPriority w:val="0"/>
    <w:pPr>
      <w:widowControl w:val="0"/>
      <w:autoSpaceDE w:val="0"/>
      <w:autoSpaceDN w:val="0"/>
      <w:adjustRightInd w:val="0"/>
    </w:pPr>
    <w:rPr>
      <w:rFonts w:ascii="方正仿宋_GBK" w:hAnsi="Calibri" w:eastAsia="方正仿宋_GBK" w:cs="方正仿宋_GBK"/>
      <w:color w:val="000000"/>
      <w:sz w:val="24"/>
      <w:szCs w:val="24"/>
      <w:lang w:val="en-US" w:eastAsia="zh-CN" w:bidi="ar-SA"/>
    </w:rPr>
  </w:style>
  <w:style w:type="character" w:customStyle="1" w:styleId="44">
    <w:name w:val="日期 字符"/>
    <w:basedOn w:val="14"/>
    <w:qFormat/>
    <w:uiPriority w:val="0"/>
    <w:rPr>
      <w:rFonts w:asciiTheme="minorHAnsi" w:hAnsiTheme="minorHAnsi" w:eastAsiaTheme="minorEastAsia" w:cstheme="minorBidi"/>
      <w:kern w:val="2"/>
      <w:sz w:val="21"/>
      <w:szCs w:val="24"/>
    </w:rPr>
  </w:style>
  <w:style w:type="character" w:customStyle="1" w:styleId="45">
    <w:name w:val="日期 字符1"/>
    <w:basedOn w:val="14"/>
    <w:link w:val="6"/>
    <w:qFormat/>
    <w:uiPriority w:val="99"/>
    <w:rPr>
      <w:rFonts w:ascii="Calibri" w:hAnsi="Calibri"/>
      <w:kern w:val="2"/>
      <w:sz w:val="21"/>
      <w:szCs w:val="22"/>
    </w:rPr>
  </w:style>
  <w:style w:type="character" w:customStyle="1" w:styleId="46">
    <w:name w:val="批注框文本 Char"/>
    <w:semiHidden/>
    <w:qFormat/>
    <w:uiPriority w:val="99"/>
    <w:rPr>
      <w:sz w:val="18"/>
      <w:szCs w:val="18"/>
    </w:rPr>
  </w:style>
  <w:style w:type="character" w:customStyle="1" w:styleId="47">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0</Words>
  <Characters>0</Characters>
  <Lines>1</Lines>
  <Paragraphs>1</Paragraphs>
  <TotalTime>2</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2022-06-10T08:17:00Z</dcterms:created>
  <dc:creator>t</dc:creator>
  <cp:lastModifiedBy>RF</cp:lastModifiedBy>
  <cp:lastPrinted>2022-06-06T16:09:00Z</cp:lastPrinted>
  <dcterms:modified xsi:type="dcterms:W3CDTF">2022-06-22T07:15:51Z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48C61CB29D3F4D9384F5922CF0F7FFB4</vt:lpwstr>
  </property>
</Properties>
</file>