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华文中宋" w:eastAsia="方正小标宋_GBK"/>
          <w:bCs/>
          <w:sz w:val="44"/>
          <w:szCs w:val="44"/>
        </w:rPr>
      </w:pPr>
    </w:p>
    <w:p>
      <w:pPr>
        <w:spacing w:line="570" w:lineRule="exact"/>
        <w:jc w:val="center"/>
        <w:rPr>
          <w:rFonts w:hint="eastAsia" w:ascii="方正小标宋_GBK" w:hAnsi="华文中宋"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Cs/>
          <w:sz w:val="44"/>
          <w:szCs w:val="44"/>
        </w:rPr>
      </w:pPr>
      <w:r>
        <w:rPr>
          <w:rFonts w:hint="eastAsia" w:ascii="方正小标宋_GBK" w:hAnsi="华文中宋" w:eastAsia="方正小标宋_GBK"/>
          <w:bCs/>
          <w:sz w:val="44"/>
          <w:szCs w:val="44"/>
        </w:rPr>
        <w:t>重庆市国土房管局</w:t>
      </w:r>
      <w:r>
        <w:rPr>
          <w:rFonts w:hint="eastAsia" w:ascii="方正小标宋_GBK" w:eastAsia="方正小标宋_GBK"/>
          <w:bCs/>
          <w:sz w:val="44"/>
          <w:szCs w:val="44"/>
        </w:rPr>
        <w:t xml:space="preserve">  </w:t>
      </w:r>
      <w:r>
        <w:rPr>
          <w:rFonts w:hint="eastAsia" w:ascii="方正小标宋_GBK" w:hAnsi="华文中宋" w:eastAsia="方正小标宋_GBK"/>
          <w:bCs/>
          <w:sz w:val="44"/>
          <w:szCs w:val="44"/>
        </w:rPr>
        <w:t>中国人民银行重庆营管部重庆银监局</w:t>
      </w:r>
      <w:r>
        <w:rPr>
          <w:rFonts w:hint="eastAsia" w:ascii="方正小标宋_GBK" w:eastAsia="方正小标宋_GBK"/>
          <w:bCs/>
          <w:sz w:val="44"/>
          <w:szCs w:val="44"/>
        </w:rPr>
        <w:t xml:space="preserve">  </w:t>
      </w:r>
      <w:r>
        <w:rPr>
          <w:rFonts w:hint="eastAsia" w:ascii="方正小标宋_GBK" w:hAnsi="华文中宋" w:eastAsia="方正小标宋_GBK"/>
          <w:bCs/>
          <w:sz w:val="44"/>
          <w:szCs w:val="44"/>
        </w:rPr>
        <w:t>重庆市金融办关于进一步规范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Cs/>
          <w:sz w:val="44"/>
          <w:szCs w:val="44"/>
        </w:rPr>
      </w:pPr>
      <w:r>
        <w:rPr>
          <w:rFonts w:hint="eastAsia" w:ascii="方正小标宋_GBK" w:hAnsi="华文中宋" w:eastAsia="方正小标宋_GBK"/>
          <w:bCs/>
          <w:sz w:val="44"/>
          <w:szCs w:val="44"/>
        </w:rPr>
        <w:t>商品房预售许可审批和在建建筑物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Cs/>
          <w:sz w:val="44"/>
          <w:szCs w:val="44"/>
        </w:rPr>
      </w:pPr>
      <w:r>
        <w:rPr>
          <w:rFonts w:hint="eastAsia" w:ascii="方正小标宋_GBK" w:hAnsi="华文中宋" w:eastAsia="方正小标宋_GBK"/>
          <w:bCs/>
          <w:sz w:val="44"/>
          <w:szCs w:val="44"/>
        </w:rPr>
        <w:t>抵押登记的通知</w:t>
      </w:r>
      <w:bookmarkStart w:id="0" w:name="_GoBack"/>
      <w:bookmarkEnd w:id="0"/>
    </w:p>
    <w:p>
      <w:pPr>
        <w:pStyle w:val="6"/>
        <w:keepNext w:val="0"/>
        <w:keepLines w:val="0"/>
        <w:pageBreakBefore w:val="0"/>
        <w:widowControl w:val="0"/>
        <w:tabs>
          <w:tab w:val="left" w:pos="8690"/>
        </w:tabs>
        <w:kinsoku/>
        <w:wordWrap/>
        <w:overflowPunct/>
        <w:topLinePunct w:val="0"/>
        <w:autoSpaceDE/>
        <w:autoSpaceDN/>
        <w:bidi w:val="0"/>
        <w:adjustRightInd/>
        <w:snapToGrid/>
        <w:spacing w:line="640" w:lineRule="exact"/>
        <w:ind w:firstLine="0" w:firstLineChars="0"/>
        <w:jc w:val="center"/>
        <w:textAlignment w:val="auto"/>
        <w:rPr>
          <w:rFonts w:ascii="Times New Roman" w:eastAsia="方正仿宋_GBK"/>
          <w:sz w:val="32"/>
        </w:rPr>
      </w:pPr>
      <w:r>
        <w:rPr>
          <w:rFonts w:ascii="Times New Roman" w:eastAsia="方正仿宋_GBK"/>
          <w:sz w:val="32"/>
        </w:rPr>
        <w:t>渝国土房管规发〔2017〕1号</w:t>
      </w:r>
    </w:p>
    <w:p>
      <w:pPr>
        <w:spacing w:line="570" w:lineRule="exact"/>
        <w:rPr>
          <w:rFonts w:eastAsia="仿宋"/>
          <w:sz w:val="32"/>
          <w:szCs w:val="32"/>
        </w:rPr>
      </w:pPr>
    </w:p>
    <w:p>
      <w:pPr>
        <w:keepNext w:val="0"/>
        <w:keepLines w:val="0"/>
        <w:pageBreakBefore w:val="0"/>
        <w:widowControl w:val="0"/>
        <w:kinsoku/>
        <w:overflowPunct/>
        <w:topLinePunct w:val="0"/>
        <w:autoSpaceDE/>
        <w:autoSpaceDN/>
        <w:bidi w:val="0"/>
        <w:adjustRightInd/>
        <w:snapToGrid/>
        <w:spacing w:line="520" w:lineRule="exact"/>
        <w:textAlignment w:val="auto"/>
        <w:rPr>
          <w:rFonts w:eastAsia="方正仿宋_GBK"/>
          <w:sz w:val="32"/>
          <w:szCs w:val="32"/>
        </w:rPr>
      </w:pPr>
      <w:r>
        <w:rPr>
          <w:rFonts w:eastAsia="方正仿宋_GBK"/>
          <w:sz w:val="32"/>
          <w:szCs w:val="32"/>
        </w:rPr>
        <w:t>各区县（自治县）国土房管局（房管局）、各分局，主城区不动产登记中心，人民银行各中心支行，各银监分局，各银行业金融机构，各房地产开发企业：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sz w:val="32"/>
          <w:szCs w:val="32"/>
        </w:rPr>
      </w:pPr>
      <w:r>
        <w:rPr>
          <w:rFonts w:eastAsia="方正仿宋_GBK"/>
          <w:sz w:val="32"/>
          <w:szCs w:val="32"/>
        </w:rPr>
        <w:t>为规范房地产交易行为，保障购房者合法权益，确保房地产市场平稳健康，根据《房地产管理法》、《物权法》和《不动产登记暂行条例实施细则》的规定，现就规范商品房预售许可和在建建筑物抵押管理有关事宜通知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sz w:val="32"/>
          <w:szCs w:val="32"/>
        </w:rPr>
      </w:pPr>
      <w:r>
        <w:rPr>
          <w:rFonts w:hAnsi="黑体" w:eastAsia="黑体"/>
          <w:sz w:val="32"/>
          <w:szCs w:val="32"/>
        </w:rPr>
        <w:t>一、抵押房地产不得用于预售。</w:t>
      </w:r>
      <w:r>
        <w:rPr>
          <w:rFonts w:eastAsia="方正仿宋_GBK"/>
          <w:color w:val="000000"/>
          <w:kern w:val="0"/>
          <w:sz w:val="32"/>
          <w:szCs w:val="32"/>
        </w:rPr>
        <w:t>开发企业依法</w:t>
      </w:r>
      <w:r>
        <w:rPr>
          <w:rFonts w:eastAsia="方正仿宋_GBK"/>
          <w:sz w:val="32"/>
          <w:szCs w:val="32"/>
        </w:rPr>
        <w:t>申请办理商品房预售许可的，申请房屋及所占土地不得抵押。</w:t>
      </w:r>
      <w:r>
        <w:rPr>
          <w:rFonts w:eastAsia="方正仿宋_GBK"/>
          <w:snapToGrid w:val="0"/>
          <w:kern w:val="0"/>
          <w:sz w:val="32"/>
          <w:szCs w:val="32"/>
        </w:rPr>
        <w:t>拟预售商品房所对应的土地使用权已抵押的，办理商品房预售许可前应注销抵押权登记，</w:t>
      </w:r>
      <w:r>
        <w:rPr>
          <w:rFonts w:eastAsia="方正仿宋_GBK"/>
          <w:color w:val="000000"/>
          <w:kern w:val="0"/>
          <w:sz w:val="32"/>
          <w:szCs w:val="32"/>
        </w:rPr>
        <w:t>注销抵押权的土地面积应大于该建筑物对应的土地面积。</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color w:val="000000"/>
          <w:kern w:val="0"/>
          <w:sz w:val="32"/>
          <w:szCs w:val="32"/>
        </w:rPr>
      </w:pPr>
      <w:r>
        <w:rPr>
          <w:rFonts w:hAnsi="黑体" w:eastAsia="黑体"/>
          <w:sz w:val="32"/>
          <w:szCs w:val="32"/>
        </w:rPr>
        <w:t>二、预售商品房不得用于抵押。</w:t>
      </w:r>
      <w:r>
        <w:rPr>
          <w:rFonts w:eastAsia="方正仿宋_GBK"/>
          <w:sz w:val="32"/>
          <w:szCs w:val="32"/>
        </w:rPr>
        <w:t>开发企业在取得商品房预售许可证后应按照预售许可内容对外进行销售，</w:t>
      </w:r>
      <w:r>
        <w:rPr>
          <w:rFonts w:eastAsia="方正仿宋_GBK"/>
          <w:color w:val="000000"/>
          <w:kern w:val="0"/>
          <w:sz w:val="32"/>
          <w:szCs w:val="32"/>
        </w:rPr>
        <w:t>不得将已办理商品房预售许可的房屋用于抵押融资；金融机构不得接受开发企业用已办理预售许可的房屋作为抵押物。</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color w:val="000000"/>
          <w:kern w:val="0"/>
          <w:sz w:val="32"/>
          <w:szCs w:val="32"/>
        </w:rPr>
      </w:pPr>
      <w:r>
        <w:rPr>
          <w:rFonts w:hAnsi="黑体" w:eastAsia="黑体"/>
          <w:color w:val="000000"/>
          <w:kern w:val="0"/>
          <w:sz w:val="32"/>
          <w:szCs w:val="32"/>
        </w:rPr>
        <w:t>三、规范在建建筑物抵押登记。</w:t>
      </w:r>
      <w:r>
        <w:rPr>
          <w:rFonts w:eastAsia="方正仿宋_GBK"/>
          <w:color w:val="000000"/>
          <w:kern w:val="0"/>
          <w:sz w:val="32"/>
          <w:szCs w:val="32"/>
        </w:rPr>
        <w:t>开发企业在申请办理在建建筑物连同所占用土地申请在建建筑物抵押权登记的，只提交记载有国有建设用地使用权的权利证书、建设工程规划许可证、主债权合同和抵押合同、房地合一图、房屋测绘报告、登记申请书、申请人身份证明材料。各登记机构不得再将取得预售许可作为抵押融资前置条件，相关金融机构也不得要求在抵押融资时提供预售许可证。</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sz w:val="32"/>
          <w:szCs w:val="32"/>
        </w:rPr>
      </w:pPr>
      <w:r>
        <w:rPr>
          <w:rFonts w:hAnsi="黑体" w:eastAsia="黑体"/>
          <w:sz w:val="32"/>
          <w:szCs w:val="32"/>
        </w:rPr>
        <w:t>四、做好土地抵押转在建建筑物抵押登记衔接工作。</w:t>
      </w:r>
      <w:r>
        <w:rPr>
          <w:rFonts w:eastAsia="方正仿宋_GBK"/>
          <w:color w:val="000000"/>
          <w:kern w:val="0"/>
          <w:sz w:val="32"/>
          <w:szCs w:val="32"/>
        </w:rPr>
        <w:t>土地使用权已办理抵押登记的，可在不注销原抵押权的情况下，申请已建成房屋连同所占用土地的在建建筑物抵押登记，在建建筑物所占用部分的土地为顺位抵押。申请人提供的登记材料除第三条规定的材料外，还应提交本次抵押权人知晓该抵押物已设定抵押权的书面材料。</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方正仿宋_GBK"/>
          <w:snapToGrid w:val="0"/>
          <w:kern w:val="0"/>
          <w:sz w:val="32"/>
          <w:szCs w:val="32"/>
          <w:lang w:val="zh-CN"/>
        </w:rPr>
      </w:pPr>
      <w:r>
        <w:rPr>
          <w:rFonts w:eastAsia="方正仿宋_GBK"/>
          <w:sz w:val="32"/>
          <w:szCs w:val="32"/>
        </w:rPr>
        <w:t>从2017年2月1日起对申请办理在建建筑物抵押登记的按本通知执行。凡</w:t>
      </w:r>
      <w:r>
        <w:rPr>
          <w:rFonts w:eastAsia="方正仿宋_GBK"/>
          <w:snapToGrid w:val="0"/>
          <w:kern w:val="0"/>
          <w:sz w:val="32"/>
          <w:szCs w:val="32"/>
          <w:lang w:val="zh-CN"/>
        </w:rPr>
        <w:t>与本《通知》不一致的相关规定停止执行。</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eastAsia="方正仿宋_GBK"/>
          <w:color w:val="000000"/>
          <w:kern w:val="0"/>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left"/>
        <w:textAlignment w:val="auto"/>
        <w:rPr>
          <w:rFonts w:hint="eastAsia" w:eastAsia="方正仿宋_GBK"/>
          <w:color w:val="000000"/>
          <w:kern w:val="0"/>
          <w:sz w:val="32"/>
          <w:szCs w:val="32"/>
        </w:rPr>
      </w:pPr>
      <w:r>
        <w:rPr>
          <w:rFonts w:hint="eastAsia" w:eastAsia="方正仿宋_GBK"/>
          <w:color w:val="000000"/>
          <w:kern w:val="0"/>
          <w:sz w:val="32"/>
          <w:szCs w:val="32"/>
        </w:rPr>
        <w:t xml:space="preserve">重庆市国土房管局         中国人民银行重庆营管部  </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left"/>
        <w:textAlignment w:val="auto"/>
        <w:rPr>
          <w:rFonts w:eastAsia="方正仿宋_GBK"/>
          <w:color w:val="000000"/>
          <w:kern w:val="0"/>
          <w:sz w:val="32"/>
          <w:szCs w:val="32"/>
        </w:rPr>
      </w:pPr>
      <w:r>
        <w:rPr>
          <w:rFonts w:hint="eastAsia" w:eastAsia="方正仿宋_GBK"/>
          <w:color w:val="000000"/>
          <w:kern w:val="0"/>
          <w:sz w:val="32"/>
          <w:szCs w:val="32"/>
        </w:rPr>
        <w:t>重庆银监局                重庆市金融办</w:t>
      </w:r>
    </w:p>
    <w:p>
      <w:pPr>
        <w:keepNext w:val="0"/>
        <w:keepLines w:val="0"/>
        <w:pageBreakBefore w:val="0"/>
        <w:widowControl w:val="0"/>
        <w:kinsoku/>
        <w:overflowPunct/>
        <w:topLinePunct w:val="0"/>
        <w:autoSpaceDE/>
        <w:autoSpaceDN/>
        <w:bidi w:val="0"/>
        <w:adjustRightInd/>
        <w:snapToGrid/>
        <w:spacing w:line="520" w:lineRule="exact"/>
        <w:ind w:right="1189" w:rightChars="566" w:firstLine="5100" w:firstLineChars="1594"/>
        <w:jc w:val="right"/>
        <w:textAlignment w:val="auto"/>
        <w:rPr>
          <w:rFonts w:hint="eastAsia" w:eastAsia="方正仿宋_GBK"/>
          <w:color w:val="000000"/>
          <w:kern w:val="0"/>
          <w:sz w:val="32"/>
          <w:szCs w:val="32"/>
        </w:rPr>
      </w:pPr>
      <w:r>
        <w:rPr>
          <w:rFonts w:eastAsia="方正仿宋_GBK"/>
          <w:color w:val="000000"/>
          <w:kern w:val="0"/>
          <w:sz w:val="32"/>
          <w:szCs w:val="32"/>
        </w:rPr>
        <w:t>2017年1月</w:t>
      </w:r>
      <w:r>
        <w:rPr>
          <w:rFonts w:hint="eastAsia" w:eastAsia="方正仿宋_GBK"/>
          <w:color w:val="000000"/>
          <w:kern w:val="0"/>
          <w:sz w:val="32"/>
          <w:szCs w:val="32"/>
        </w:rPr>
        <w:t>22</w:t>
      </w:r>
      <w:r>
        <w:rPr>
          <w:rFonts w:eastAsia="方正仿宋_GBK"/>
          <w:color w:val="000000"/>
          <w:kern w:val="0"/>
          <w:sz w:val="32"/>
          <w:szCs w:val="32"/>
        </w:rPr>
        <w:t>日</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eastAsia="方正仿宋_GBK"/>
          <w:color w:val="000000"/>
          <w:kern w:val="0"/>
          <w:sz w:val="32"/>
          <w:szCs w:val="32"/>
        </w:rPr>
      </w:pPr>
    </w:p>
    <w:p>
      <w:pPr>
        <w:keepNext w:val="0"/>
        <w:keepLines w:val="0"/>
        <w:pageBreakBefore w:val="0"/>
        <w:widowControl w:val="0"/>
        <w:kinsoku/>
        <w:overflowPunct/>
        <w:topLinePunct w:val="0"/>
        <w:autoSpaceDE/>
        <w:autoSpaceDN/>
        <w:bidi w:val="0"/>
        <w:adjustRightInd/>
        <w:snapToGrid/>
        <w:spacing w:line="520" w:lineRule="exact"/>
        <w:textAlignment w:val="auto"/>
        <w:rPr>
          <w:rFonts w:eastAsia="方正楷体_GBK"/>
          <w:bCs/>
          <w:snapToGrid w:val="0"/>
          <w:color w:val="000000"/>
          <w:kern w:val="0"/>
          <w:sz w:val="28"/>
          <w:szCs w:val="28"/>
        </w:rPr>
      </w:pPr>
      <w:r>
        <w:rPr>
          <w:rFonts w:eastAsia="方正黑体_GBK"/>
          <w:bCs/>
          <w:snapToGrid w:val="0"/>
          <w:color w:val="000000"/>
          <w:kern w:val="0"/>
          <w:sz w:val="28"/>
          <w:szCs w:val="28"/>
        </w:rPr>
        <w:t>公开方式：</w:t>
      </w:r>
      <w:r>
        <w:rPr>
          <w:rFonts w:hint="eastAsia" w:eastAsia="方正楷体_GBK"/>
          <w:bCs/>
          <w:snapToGrid w:val="0"/>
          <w:color w:val="000000"/>
          <w:kern w:val="0"/>
          <w:sz w:val="28"/>
          <w:szCs w:val="28"/>
        </w:rPr>
        <w:t>主动</w:t>
      </w:r>
      <w:r>
        <w:rPr>
          <w:rFonts w:eastAsia="方正楷体_GBK"/>
          <w:bCs/>
          <w:snapToGrid w:val="0"/>
          <w:color w:val="000000"/>
          <w:kern w:val="0"/>
          <w:sz w:val="28"/>
          <w:szCs w:val="28"/>
        </w:rPr>
        <w:t>公开</w:t>
      </w:r>
    </w:p>
    <w:p>
      <w:pPr>
        <w:keepNext w:val="0"/>
        <w:keepLines w:val="0"/>
        <w:pageBreakBefore w:val="0"/>
        <w:widowControl w:val="0"/>
        <w:pBdr>
          <w:top w:val="single" w:color="auto" w:sz="6" w:space="1"/>
          <w:bottom w:val="single" w:color="auto" w:sz="6" w:space="1"/>
        </w:pBdr>
        <w:kinsoku/>
        <w:overflowPunct/>
        <w:topLinePunct w:val="0"/>
        <w:autoSpaceDE/>
        <w:autoSpaceDN/>
        <w:bidi w:val="0"/>
        <w:adjustRightInd/>
        <w:snapToGrid/>
        <w:spacing w:line="520" w:lineRule="exact"/>
        <w:ind w:firstLine="280" w:firstLineChars="100"/>
        <w:textAlignment w:val="auto"/>
        <w:rPr>
          <w:rFonts w:eastAsia="方正仿宋_GBK"/>
          <w:snapToGrid w:val="0"/>
          <w:kern w:val="0"/>
          <w:sz w:val="28"/>
          <w:szCs w:val="28"/>
        </w:rPr>
      </w:pPr>
      <w:r>
        <w:rPr>
          <w:rFonts w:eastAsia="方正仿宋_GBK"/>
          <w:snapToGrid w:val="0"/>
          <w:kern w:val="0"/>
          <w:sz w:val="28"/>
          <w:szCs w:val="28"/>
        </w:rPr>
        <w:t>重庆市国土房管局办公室                 201</w:t>
      </w:r>
      <w:r>
        <w:rPr>
          <w:rFonts w:hint="eastAsia" w:eastAsia="方正仿宋_GBK"/>
          <w:snapToGrid w:val="0"/>
          <w:kern w:val="0"/>
          <w:sz w:val="28"/>
          <w:szCs w:val="28"/>
        </w:rPr>
        <w:t>7</w:t>
      </w:r>
      <w:r>
        <w:rPr>
          <w:rFonts w:eastAsia="方正仿宋_GBK"/>
          <w:snapToGrid w:val="0"/>
          <w:kern w:val="0"/>
          <w:sz w:val="28"/>
          <w:szCs w:val="28"/>
        </w:rPr>
        <w:t>年</w:t>
      </w:r>
      <w:r>
        <w:rPr>
          <w:rFonts w:hint="eastAsia" w:eastAsia="方正仿宋_GBK"/>
          <w:snapToGrid w:val="0"/>
          <w:kern w:val="0"/>
          <w:sz w:val="28"/>
          <w:szCs w:val="28"/>
        </w:rPr>
        <w:t>1</w:t>
      </w:r>
      <w:r>
        <w:rPr>
          <w:rFonts w:eastAsia="方正仿宋_GBK"/>
          <w:snapToGrid w:val="0"/>
          <w:kern w:val="0"/>
          <w:sz w:val="28"/>
          <w:szCs w:val="28"/>
        </w:rPr>
        <w:t>月</w:t>
      </w:r>
      <w:r>
        <w:rPr>
          <w:rFonts w:hint="eastAsia" w:eastAsia="方正仿宋_GBK"/>
          <w:snapToGrid w:val="0"/>
          <w:kern w:val="0"/>
          <w:sz w:val="28"/>
          <w:szCs w:val="28"/>
        </w:rPr>
        <w:t>22</w:t>
      </w:r>
      <w:r>
        <w:rPr>
          <w:rFonts w:eastAsia="方正仿宋_GBK"/>
          <w:snapToGrid w:val="0"/>
          <w:kern w:val="0"/>
          <w:sz w:val="28"/>
          <w:szCs w:val="28"/>
        </w:rPr>
        <w:t>日印发</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overflowPunct/>
        <w:topLinePunct w:val="0"/>
        <w:autoSpaceDE/>
        <w:autoSpaceDN/>
        <w:bidi w:val="0"/>
        <w:adjustRightInd/>
        <w:snapToGrid/>
        <w:spacing w:line="520" w:lineRule="exact"/>
        <w:jc w:val="left"/>
        <w:textAlignment w:val="auto"/>
        <w:rPr>
          <w:rFonts w:ascii="Times New Roman" w:hAnsi="Times New Roman" w:eastAsia="方正仿宋_GBK"/>
          <w:kern w:val="0"/>
          <w:sz w:val="32"/>
          <w:szCs w:val="32"/>
          <w:shd w:val="clear" w:color="auto" w:fill="FFFFFF"/>
        </w:rPr>
        <w:sectPr>
          <w:type w:val="continuous"/>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overflowPunct/>
        <w:topLinePunct w:val="0"/>
        <w:autoSpaceDE/>
        <w:autoSpaceDN/>
        <w:bidi w:val="0"/>
        <w:adjustRightInd/>
        <w:snapToGrid/>
        <w:spacing w:line="520" w:lineRule="exact"/>
        <w:jc w:val="left"/>
        <w:textAlignment w:val="auto"/>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1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4C6E9B"/>
    <w:rsid w:val="004D51F0"/>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383A79"/>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40"/>
    <w:qFormat/>
    <w:uiPriority w:val="99"/>
    <w:pPr>
      <w:jc w:val="left"/>
    </w:pPr>
  </w:style>
  <w:style w:type="paragraph" w:styleId="5">
    <w:name w:val="Body Text"/>
    <w:basedOn w:val="1"/>
    <w:link w:val="24"/>
    <w:qFormat/>
    <w:uiPriority w:val="0"/>
    <w:pPr>
      <w:widowControl/>
      <w:jc w:val="left"/>
    </w:pPr>
    <w:rPr>
      <w:rFonts w:ascii="Times New Roman" w:hAnsi="Times New Roman" w:eastAsia="仿宋_GB2312" w:cs="Times New Roman"/>
      <w:b/>
      <w:bCs/>
      <w:sz w:val="44"/>
    </w:rPr>
  </w:style>
  <w:style w:type="paragraph" w:styleId="6">
    <w:name w:val="Body Text Indent"/>
    <w:basedOn w:val="1"/>
    <w:uiPriority w:val="0"/>
    <w:pPr>
      <w:ind w:firstLine="560" w:firstLineChars="200"/>
    </w:pPr>
    <w:rPr>
      <w:rFonts w:ascii="仿宋_GB2312" w:eastAsia="仿宋_GB2312"/>
      <w:sz w:val="28"/>
      <w:szCs w:val="32"/>
    </w:rPr>
  </w:style>
  <w:style w:type="paragraph" w:styleId="7">
    <w:name w:val="Date"/>
    <w:basedOn w:val="1"/>
    <w:next w:val="1"/>
    <w:link w:val="46"/>
    <w:unhideWhenUsed/>
    <w:qFormat/>
    <w:uiPriority w:val="99"/>
    <w:pPr>
      <w:ind w:left="100" w:leftChars="2500"/>
    </w:pPr>
    <w:rPr>
      <w:rFonts w:ascii="Calibri" w:hAnsi="Calibri" w:eastAsia="宋体" w:cs="Times New Roman"/>
      <w:szCs w:val="22"/>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38"/>
    <w:unhideWhenUsed/>
    <w:qFormat/>
    <w:uiPriority w:val="99"/>
    <w:rPr>
      <w:rFonts w:ascii="Times New Roman" w:hAnsi="Times New Roman" w:eastAsia="宋体" w:cs="Times New Roman"/>
      <w:b/>
      <w:bCs/>
      <w:kern w:val="0"/>
      <w:sz w:val="20"/>
      <w:szCs w:val="20"/>
    </w:rPr>
  </w:style>
  <w:style w:type="character" w:styleId="16">
    <w:name w:val="Strong"/>
    <w:basedOn w:val="15"/>
    <w:qFormat/>
    <w:uiPriority w:val="22"/>
    <w:rPr>
      <w:b/>
      <w:bCs/>
    </w:rPr>
  </w:style>
  <w:style w:type="character" w:styleId="17">
    <w:name w:val="Hyperlink"/>
    <w:unhideWhenUsed/>
    <w:qFormat/>
    <w:uiPriority w:val="99"/>
    <w:rPr>
      <w:color w:val="0000FF"/>
      <w:u w:val="single"/>
    </w:rPr>
  </w:style>
  <w:style w:type="character" w:styleId="18">
    <w:name w:val="annotation reference"/>
    <w:basedOn w:val="15"/>
    <w:qFormat/>
    <w:uiPriority w:val="99"/>
    <w:rPr>
      <w:sz w:val="21"/>
      <w:szCs w:val="21"/>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字符"/>
    <w:basedOn w:val="15"/>
    <w:link w:val="8"/>
    <w:qFormat/>
    <w:uiPriority w:val="99"/>
    <w:rPr>
      <w:rFonts w:asciiTheme="minorHAnsi" w:hAnsiTheme="minorHAnsi" w:eastAsiaTheme="minorEastAsia" w:cstheme="minorBidi"/>
      <w:kern w:val="2"/>
      <w:sz w:val="18"/>
      <w:szCs w:val="18"/>
    </w:rPr>
  </w:style>
  <w:style w:type="character" w:customStyle="1" w:styleId="21">
    <w:name w:val="页脚 字符"/>
    <w:link w:val="9"/>
    <w:qFormat/>
    <w:uiPriority w:val="99"/>
    <w:rPr>
      <w:rFonts w:asciiTheme="minorHAnsi" w:hAnsiTheme="minorHAnsi" w:eastAsiaTheme="minorEastAsia" w:cstheme="minorBidi"/>
      <w:kern w:val="2"/>
      <w:sz w:val="18"/>
      <w:szCs w:val="24"/>
    </w:rPr>
  </w:style>
  <w:style w:type="character" w:customStyle="1" w:styleId="22">
    <w:name w:val="页眉 字符"/>
    <w:link w:val="10"/>
    <w:qFormat/>
    <w:uiPriority w:val="99"/>
    <w:rPr>
      <w:rFonts w:asciiTheme="minorHAnsi" w:hAnsiTheme="minorHAnsi" w:eastAsiaTheme="minorEastAsia" w:cstheme="minorBidi"/>
      <w:kern w:val="2"/>
      <w:sz w:val="18"/>
      <w:szCs w:val="24"/>
    </w:rPr>
  </w:style>
  <w:style w:type="character" w:customStyle="1" w:styleId="23">
    <w:name w:val="正文文本 字符"/>
    <w:basedOn w:val="15"/>
    <w:qFormat/>
    <w:uiPriority w:val="0"/>
    <w:rPr>
      <w:rFonts w:asciiTheme="minorHAnsi" w:hAnsiTheme="minorHAnsi" w:eastAsiaTheme="minorEastAsia" w:cstheme="minorBidi"/>
      <w:kern w:val="2"/>
      <w:sz w:val="21"/>
      <w:szCs w:val="24"/>
    </w:rPr>
  </w:style>
  <w:style w:type="character" w:customStyle="1" w:styleId="24">
    <w:name w:val="正文文本 字符1"/>
    <w:link w:val="5"/>
    <w:qFormat/>
    <w:uiPriority w:val="0"/>
    <w:rPr>
      <w:rFonts w:eastAsia="仿宋_GB2312"/>
      <w:b/>
      <w:bCs/>
      <w:kern w:val="2"/>
      <w:sz w:val="44"/>
      <w:szCs w:val="24"/>
    </w:rPr>
  </w:style>
  <w:style w:type="character" w:customStyle="1" w:styleId="25">
    <w:name w:val="页眉 Char"/>
    <w:qFormat/>
    <w:uiPriority w:val="99"/>
    <w:rPr>
      <w:rFonts w:ascii="Calibri" w:hAnsi="Calibri" w:eastAsia="宋体" w:cs="Times New Roman"/>
      <w:sz w:val="18"/>
      <w:szCs w:val="18"/>
    </w:rPr>
  </w:style>
  <w:style w:type="character" w:customStyle="1" w:styleId="26">
    <w:name w:val="页脚 Char"/>
    <w:qFormat/>
    <w:uiPriority w:val="99"/>
    <w:rPr>
      <w:rFonts w:ascii="Calibri" w:hAnsi="Calibri" w:eastAsia="宋体" w:cs="Times New Roman"/>
      <w:sz w:val="18"/>
      <w:szCs w:val="18"/>
    </w:rPr>
  </w:style>
  <w:style w:type="paragraph" w:customStyle="1" w:styleId="27">
    <w:name w:val="列出段落1"/>
    <w:basedOn w:val="1"/>
    <w:uiPriority w:val="0"/>
    <w:pPr>
      <w:ind w:firstLine="420" w:firstLineChars="200"/>
    </w:pPr>
    <w:rPr>
      <w:rFonts w:ascii="Calibri" w:hAnsi="Calibri" w:eastAsia="宋体" w:cs="Times New Roman"/>
    </w:rPr>
  </w:style>
  <w:style w:type="character" w:customStyle="1" w:styleId="28">
    <w:name w:val="正文文本 (2)_"/>
    <w:link w:val="29"/>
    <w:uiPriority w:val="99"/>
    <w:rPr>
      <w:rFonts w:ascii="宋体" w:cs="宋体"/>
      <w:spacing w:val="30"/>
      <w:sz w:val="28"/>
      <w:szCs w:val="28"/>
      <w:shd w:val="clear" w:color="auto" w:fill="FFFFFF"/>
    </w:rPr>
  </w:style>
  <w:style w:type="paragraph" w:customStyle="1" w:styleId="29">
    <w:name w:val="正文文本 (2)1"/>
    <w:basedOn w:val="1"/>
    <w:link w:val="28"/>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30">
    <w:name w:val="标题 #3_"/>
    <w:link w:val="31"/>
    <w:qFormat/>
    <w:uiPriority w:val="99"/>
    <w:rPr>
      <w:rFonts w:ascii="宋体" w:cs="宋体"/>
      <w:spacing w:val="-20"/>
      <w:sz w:val="42"/>
      <w:szCs w:val="42"/>
      <w:shd w:val="clear" w:color="auto" w:fill="FFFFFF"/>
    </w:rPr>
  </w:style>
  <w:style w:type="paragraph" w:customStyle="1" w:styleId="31">
    <w:name w:val="标题 #3"/>
    <w:basedOn w:val="1"/>
    <w:link w:val="30"/>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2">
    <w:name w:val="标题 #4_"/>
    <w:link w:val="33"/>
    <w:qFormat/>
    <w:uiPriority w:val="99"/>
    <w:rPr>
      <w:rFonts w:ascii="宋体" w:cs="宋体"/>
      <w:b/>
      <w:bCs/>
      <w:spacing w:val="40"/>
      <w:sz w:val="30"/>
      <w:szCs w:val="30"/>
      <w:shd w:val="clear" w:color="auto" w:fill="FFFFFF"/>
    </w:rPr>
  </w:style>
  <w:style w:type="paragraph" w:customStyle="1" w:styleId="33">
    <w:name w:val="标题 #4"/>
    <w:basedOn w:val="1"/>
    <w:link w:val="32"/>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4">
    <w:name w:val="标题 #4 + 间距 3 pt"/>
    <w:qFormat/>
    <w:uiPriority w:val="99"/>
    <w:rPr>
      <w:rFonts w:ascii="宋体" w:eastAsia="宋体" w:cs="宋体"/>
      <w:b/>
      <w:bCs/>
      <w:spacing w:val="70"/>
      <w:sz w:val="30"/>
      <w:szCs w:val="30"/>
      <w:shd w:val="clear" w:color="auto" w:fill="FFFFFF"/>
    </w:rPr>
  </w:style>
  <w:style w:type="paragraph" w:customStyle="1" w:styleId="35">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6">
    <w:name w:val="大标题"/>
    <w:basedOn w:val="12"/>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7">
    <w:name w:val="标题 字符"/>
    <w:basedOn w:val="15"/>
    <w:link w:val="12"/>
    <w:qFormat/>
    <w:uiPriority w:val="0"/>
    <w:rPr>
      <w:rFonts w:asciiTheme="majorHAnsi" w:hAnsiTheme="majorHAnsi" w:eastAsiaTheme="majorEastAsia" w:cstheme="majorBidi"/>
      <w:b/>
      <w:bCs/>
      <w:kern w:val="2"/>
      <w:sz w:val="32"/>
      <w:szCs w:val="32"/>
    </w:rPr>
  </w:style>
  <w:style w:type="character" w:customStyle="1" w:styleId="38">
    <w:name w:val="批注主题 字符"/>
    <w:link w:val="13"/>
    <w:uiPriority w:val="99"/>
    <w:rPr>
      <w:b/>
      <w:bCs/>
    </w:rPr>
  </w:style>
  <w:style w:type="character" w:customStyle="1" w:styleId="39">
    <w:name w:val="批注文字 字符"/>
    <w:basedOn w:val="15"/>
    <w:semiHidden/>
    <w:qFormat/>
    <w:uiPriority w:val="99"/>
  </w:style>
  <w:style w:type="character" w:customStyle="1" w:styleId="40">
    <w:name w:val="批注文字 字符1"/>
    <w:basedOn w:val="15"/>
    <w:link w:val="4"/>
    <w:uiPriority w:val="99"/>
    <w:rPr>
      <w:rFonts w:asciiTheme="minorHAnsi" w:hAnsiTheme="minorHAnsi" w:eastAsiaTheme="minorEastAsia" w:cstheme="minorBidi"/>
      <w:kern w:val="2"/>
      <w:sz w:val="21"/>
      <w:szCs w:val="24"/>
    </w:rPr>
  </w:style>
  <w:style w:type="character" w:customStyle="1" w:styleId="41">
    <w:name w:val="批注主题 字符1"/>
    <w:basedOn w:val="40"/>
    <w:qFormat/>
    <w:uiPriority w:val="0"/>
    <w:rPr>
      <w:rFonts w:asciiTheme="minorHAnsi" w:hAnsiTheme="minorHAnsi" w:eastAsiaTheme="minorEastAsia" w:cstheme="minorBidi"/>
      <w:b/>
      <w:bCs/>
      <w:kern w:val="2"/>
      <w:sz w:val="21"/>
      <w:szCs w:val="24"/>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5">
    <w:name w:val="日期 字符"/>
    <w:basedOn w:val="15"/>
    <w:qFormat/>
    <w:uiPriority w:val="0"/>
    <w:rPr>
      <w:rFonts w:asciiTheme="minorHAnsi" w:hAnsiTheme="minorHAnsi" w:eastAsiaTheme="minorEastAsia" w:cstheme="minorBidi"/>
      <w:kern w:val="2"/>
      <w:sz w:val="21"/>
      <w:szCs w:val="24"/>
    </w:rPr>
  </w:style>
  <w:style w:type="character" w:customStyle="1" w:styleId="46">
    <w:name w:val="日期 字符1"/>
    <w:basedOn w:val="15"/>
    <w:link w:val="7"/>
    <w:qFormat/>
    <w:uiPriority w:val="99"/>
    <w:rPr>
      <w:rFonts w:ascii="Calibri" w:hAnsi="Calibri"/>
      <w:kern w:val="2"/>
      <w:sz w:val="21"/>
      <w:szCs w:val="22"/>
    </w:rPr>
  </w:style>
  <w:style w:type="character" w:customStyle="1" w:styleId="47">
    <w:name w:val="批注框文本 Char"/>
    <w:semiHidden/>
    <w:uiPriority w:val="99"/>
    <w:rPr>
      <w:sz w:val="18"/>
      <w:szCs w:val="18"/>
    </w:rPr>
  </w:style>
  <w:style w:type="character" w:customStyle="1" w:styleId="4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0</Words>
  <Characters>0</Characters>
  <Lines>1</Lines>
  <Paragraphs>1</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2023-03-13T08:39:39Z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