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A9FB7">
      <w:pPr>
        <w:widowControl/>
        <w:spacing w:line="540" w:lineRule="exact"/>
        <w:rPr>
          <w:rFonts w:eastAsia="方正仿宋_GBK"/>
          <w:szCs w:val="32"/>
        </w:rPr>
      </w:pPr>
    </w:p>
    <w:p w14:paraId="7F64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0" w:leftChars="50" w:firstLine="0" w:firstLineChars="0"/>
        <w:jc w:val="center"/>
        <w:textAlignment w:val="auto"/>
        <w:rPr>
          <w:rFonts w:ascii="方正小标宋_GBK" w:eastAsia="方正小标宋_GBK"/>
          <w:spacing w:val="11"/>
          <w:sz w:val="44"/>
          <w:szCs w:val="44"/>
        </w:rPr>
      </w:pPr>
      <w:r>
        <w:rPr>
          <w:rFonts w:hint="eastAsia" w:ascii="方正小标宋_GBK" w:eastAsia="方正小标宋_GBK"/>
          <w:spacing w:val="11"/>
          <w:sz w:val="44"/>
          <w:szCs w:val="44"/>
        </w:rPr>
        <w:t>重庆市住房和城乡建设委员会</w:t>
      </w:r>
    </w:p>
    <w:p w14:paraId="5D9ACEA6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40" w:leftChars="700" w:right="2240" w:rightChars="700"/>
        <w:jc w:val="distribute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5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45"/>
          <w:w w:val="95"/>
          <w:sz w:val="44"/>
          <w:szCs w:val="44"/>
          <w:u w:val="none"/>
          <w:lang w:val="en-US" w:eastAsia="zh-CN"/>
        </w:rPr>
        <w:t>重庆市发展和改革委员会</w:t>
      </w:r>
    </w:p>
    <w:p w14:paraId="0F554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3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关于完善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市级公租房项目租金价格</w:t>
      </w:r>
    </w:p>
    <w:p w14:paraId="3C5FD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3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</w:rPr>
        <w:t>形成机制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u w:val="none"/>
          <w:lang w:val="en-US" w:eastAsia="zh-CN"/>
        </w:rPr>
        <w:t>的通知</w:t>
      </w:r>
    </w:p>
    <w:p w14:paraId="0A00BD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pacing w:val="-6"/>
          <w:kern w:val="44"/>
          <w:sz w:val="44"/>
          <w:szCs w:val="44"/>
          <w:shd w:val="clear" w:color="auto" w:fill="FFFFFF"/>
          <w:lang w:val="en-US" w:eastAsia="zh-CN"/>
        </w:rPr>
      </w:pPr>
    </w:p>
    <w:p w14:paraId="1AFEB0E1">
      <w:pPr>
        <w:keepNext w:val="0"/>
        <w:keepLines w:val="0"/>
        <w:pageBreakBefore w:val="0"/>
        <w:widowControl w:val="0"/>
        <w:tabs>
          <w:tab w:val="left" w:pos="248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pacing w:val="-6"/>
          <w:kern w:val="44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渝建发〔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号</w:t>
      </w:r>
    </w:p>
    <w:p w14:paraId="5659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 w14:paraId="67712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市公租房管理局，各区县（自治县）住房城乡建委、发展改革委，两江新区、重庆高新区建设局，万盛经开区住房城乡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建设局，两江新区市场监管局、重庆高新区改革发展局、万盛经开区发展改革局，有关单位：</w:t>
      </w:r>
    </w:p>
    <w:p w14:paraId="0BD7C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贯彻落实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公共租赁住房管理办法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住房和城乡建设部令第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）、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《重庆市公共租赁住房管理办法》（渝府发〔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精神，持续提升保障能力，现就完善市级公租房项目租金价格形成机制有关事宜通知如下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46FD51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一、基本原则</w:t>
      </w:r>
    </w:p>
    <w:p w14:paraId="034E8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坚持群众可承受、财力可负担、分类精准保障的原则，在充分体现公租房基本保障属性的同时，兼顾经济社会发展水平，完善市级公租房项目租金价格形成机制，促进公租房长期可持续发展，不断提升保障对象的满意度和获得感。</w:t>
      </w:r>
    </w:p>
    <w:p w14:paraId="53F71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二、适用范围</w:t>
      </w:r>
    </w:p>
    <w:p w14:paraId="45698E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本通知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适用于纳入国家计划的市级公租房项目。区县级公租房项目可参照执行。</w:t>
      </w:r>
    </w:p>
    <w:p w14:paraId="0B7F2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租金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价格形成机制</w:t>
      </w:r>
    </w:p>
    <w:p w14:paraId="3CB5C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（一）主要内容。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公租房租金价格首次定价原则上按照不超过同地段、同品质房屋市场租金的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60%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，结合房屋建设运营成本和不同保障对象收入水平确定。综合考虑经济社会发展水平和群众承受能力，根据本市城镇居民人均可支配收入、居民消费价格指数和居住价格指数变化均值，每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动态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调整一次。租金价格调整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算法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如下：</w:t>
      </w:r>
    </w:p>
    <w:p w14:paraId="5BA5A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47D492BB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187325</wp:posOffset>
            </wp:positionV>
            <wp:extent cx="5263515" cy="909320"/>
            <wp:effectExtent l="0" t="0" r="0" b="0"/>
            <wp:wrapNone/>
            <wp:docPr id="5" name="图片 5" descr="695b79239ae4d34031fd0120b6d97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95b79239ae4d34031fd0120b6d976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499B0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55625328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48B61F86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7E4F3CAC">
      <w:pPr>
        <w:pStyle w:val="5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调整后租金价格原则上不超过同地段、同品质房屋市场租金价格的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60%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 w14:paraId="28D0FFB9">
      <w:pPr>
        <w:pStyle w:val="5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  <w:lang w:val="en-US" w:eastAsia="zh-CN"/>
        </w:rPr>
        <w:t>（二）实施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</w:rPr>
        <w:t>程序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市级公租房项目租金实行政府定价，由市住房城乡建委会同市发展改革委制定，报市政府批准后实施。</w:t>
      </w:r>
    </w:p>
    <w:p w14:paraId="6F7B2030">
      <w:pPr>
        <w:pStyle w:val="5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（三）优惠政策。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为兜住民生底线，城镇最低生活保障、特困人员和最低生活保障边缘家庭的住房困难家庭入住对象，租金价格按原城镇廉租住房保障家庭租金价格管理规定执行。</w:t>
      </w:r>
    </w:p>
    <w:p w14:paraId="02FD6C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u w:val="none"/>
        </w:rPr>
        <w:t>、保障措施</w:t>
      </w:r>
    </w:p>
    <w:p w14:paraId="1C1B934D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（一）强化租金管理。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严格执行公租房租金收入管理相关规定，切实加强租金使用管理；公租房产权单位或运营单位应当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按照不低于租金收入的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</w:rPr>
        <w:t>5%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逐年预筹专项维修资金，用于公租房共有部位、共有设施设备的维修、更新和改造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，并做好资金使用情况信息公示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2D695BA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（二）强化收入核对。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区县住房保障主管部门应当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对承租人定期开展收入核对，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整合部门数据，通过个人收入申报、大数据比对等方式核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收入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，确保公租房分类精准保障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。</w:t>
      </w:r>
    </w:p>
    <w:p w14:paraId="3531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（三）做好市场租金价格发布。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市住房城乡建委建立覆盖公租房项目同地段同品质的商品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eastAsia="zh-CN"/>
        </w:rPr>
        <w:t>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房市场租金价格定期发布机制，定期分片区对市场租金价格进行调查并公布。</w:t>
      </w:r>
    </w:p>
    <w:p w14:paraId="275776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（四）提升物业服务水平。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公租房产权单位或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运营单位应当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强化公租房物业服务企业监督考核，加强小区安全和日常运行维护管理，持续提升物业服务质量和水平。</w:t>
      </w:r>
    </w:p>
    <w:p w14:paraId="12C78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（五）加强政策宣传。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公共租赁住房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管理机构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以及区县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住房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保障主管部门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通过多种渠道、采取多种方式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加强政策宣传解释力度，提高政策知晓度。</w:t>
      </w:r>
    </w:p>
    <w:p w14:paraId="7897E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  <w:t>本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自印发之日起施行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</w:rPr>
        <w:t>。</w:t>
      </w:r>
    </w:p>
    <w:p w14:paraId="2FC03247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38E78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</w:p>
    <w:p w14:paraId="21585F79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重庆市住房和城乡建设委员会      重庆市发展和改革委员会</w:t>
      </w:r>
    </w:p>
    <w:p w14:paraId="1AD1F44B">
      <w:pPr>
        <w:pStyle w:val="5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type w:val="continuous"/>
      <w:pgSz w:w="11906" w:h="16838"/>
      <w:pgMar w:top="1962" w:right="1474" w:bottom="1848" w:left="1587" w:header="851" w:footer="992" w:gutter="0"/>
      <w:pgNumType w:fmt="numberInDash" w:start="1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BD8F7">
    <w:pPr>
      <w:pStyle w:val="11"/>
      <w:ind w:left="7296" w:leftChars="2280" w:firstLine="6400" w:firstLineChars="2000"/>
      <w:rPr>
        <w:sz w:val="32"/>
      </w:rPr>
    </w:pPr>
  </w:p>
  <w:p w14:paraId="13C1ADF0">
    <w:pPr>
      <w:pStyle w:val="11"/>
      <w:ind w:firstLine="11180" w:firstLineChars="3494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OnpdHU&#10;AAAABgEAAA8AAAAAAAAAAQAgAAAAIgAAAGRycy9kb3ducmV2LnhtbFBLAQIUABQAAAAIAIdO4kCl&#10;qaIr6wEAALcDAAAOAAAAAAAAAAEAIAAAACM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市重庆市住房和城乡建设委员会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  <w:p w14:paraId="58337824">
    <w:pPr>
      <w:pStyle w:val="11"/>
      <w:ind w:left="7296" w:leftChars="2280" w:firstLine="5622" w:firstLineChars="2000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9C6C2"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8" name="直接连接符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cR5KzUAAAACAEAAA8AAAAAAAAAAQAgAAAAIgAAAGRycy9kb3ducmV2LnhtbFBLAQIUABQA&#10;AAAIAIdO4kAlyFwt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41433E17"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9" name="图片 1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ascii="宋体" w:hAnsi="宋体" w:eastAsia="宋体" w:cs="宋体"/>
        <w:b/>
        <w:bCs/>
        <w:color w:val="005192"/>
        <w:sz w:val="32"/>
      </w:rPr>
      <w:t>住房和</w:t>
    </w:r>
    <w:r>
      <w:rPr>
        <w:rFonts w:hint="eastAsia" w:ascii="宋体" w:hAnsi="宋体" w:eastAsia="宋体" w:cs="宋体"/>
        <w:b/>
        <w:bCs/>
        <w:color w:val="005192"/>
        <w:sz w:val="32"/>
      </w:rPr>
      <w:t>城乡建设</w:t>
    </w:r>
    <w:r>
      <w:rPr>
        <w:rFonts w:ascii="宋体" w:hAnsi="宋体" w:eastAsia="宋体" w:cs="宋体"/>
        <w:b/>
        <w:bCs/>
        <w:color w:val="005192"/>
        <w:sz w:val="32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  <w:p w14:paraId="58251741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DI5NmE5YjQ5NTYwZTQxOThlMmEyYzAzNTk2ZjYifQ=="/>
  </w:docVars>
  <w:rsids>
    <w:rsidRoot w:val="00172A27"/>
    <w:rsid w:val="000C5179"/>
    <w:rsid w:val="00122013"/>
    <w:rsid w:val="00172A27"/>
    <w:rsid w:val="00254E96"/>
    <w:rsid w:val="002B79FC"/>
    <w:rsid w:val="004C6E9B"/>
    <w:rsid w:val="004D51F0"/>
    <w:rsid w:val="005748CF"/>
    <w:rsid w:val="00583B01"/>
    <w:rsid w:val="00767A35"/>
    <w:rsid w:val="007B0368"/>
    <w:rsid w:val="00886210"/>
    <w:rsid w:val="008D709A"/>
    <w:rsid w:val="009A7B71"/>
    <w:rsid w:val="009D7919"/>
    <w:rsid w:val="00A06903"/>
    <w:rsid w:val="00B43E9C"/>
    <w:rsid w:val="00CA311A"/>
    <w:rsid w:val="00D538BB"/>
    <w:rsid w:val="00EA4D28"/>
    <w:rsid w:val="019E71BD"/>
    <w:rsid w:val="01E93D58"/>
    <w:rsid w:val="02A419FC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1FB0223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865460A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B95F89"/>
    <w:rsid w:val="3EDA13A6"/>
    <w:rsid w:val="3FF56C14"/>
    <w:rsid w:val="417B75E9"/>
    <w:rsid w:val="42430A63"/>
    <w:rsid w:val="42F058B7"/>
    <w:rsid w:val="436109F6"/>
    <w:rsid w:val="441A38D4"/>
    <w:rsid w:val="44BC52D5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35285B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9AD2F4A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BCAB5C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5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next w:val="4"/>
    <w:link w:val="26"/>
    <w:qFormat/>
    <w:uiPriority w:val="0"/>
    <w:pPr>
      <w:widowControl/>
      <w:jc w:val="left"/>
    </w:pPr>
    <w:rPr>
      <w:b/>
      <w:bCs/>
      <w:sz w:val="44"/>
    </w:rPr>
  </w:style>
  <w:style w:type="paragraph" w:customStyle="1" w:styleId="4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7">
    <w:name w:val="annotation text"/>
    <w:basedOn w:val="1"/>
    <w:link w:val="42"/>
    <w:qFormat/>
    <w:uiPriority w:val="99"/>
    <w:pPr>
      <w:jc w:val="left"/>
    </w:pPr>
  </w:style>
  <w:style w:type="paragraph" w:styleId="8">
    <w:name w:val="Date"/>
    <w:basedOn w:val="1"/>
    <w:next w:val="1"/>
    <w:link w:val="47"/>
    <w:unhideWhenUsed/>
    <w:qFormat/>
    <w:uiPriority w:val="99"/>
    <w:pPr>
      <w:ind w:left="100" w:leftChars="2500"/>
    </w:pPr>
    <w:rPr>
      <w:rFonts w:ascii="Calibri" w:hAnsi="Calibri" w:eastAsia="宋体"/>
      <w:szCs w:val="22"/>
    </w:rPr>
  </w:style>
  <w:style w:type="paragraph" w:styleId="9">
    <w:name w:val="Balloon Text"/>
    <w:basedOn w:val="1"/>
    <w:link w:val="22"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link w:val="3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14">
    <w:name w:val="annotation subject"/>
    <w:basedOn w:val="7"/>
    <w:next w:val="7"/>
    <w:link w:val="40"/>
    <w:unhideWhenUsed/>
    <w:qFormat/>
    <w:uiPriority w:val="99"/>
    <w:rPr>
      <w:rFonts w:eastAsia="宋体"/>
      <w:b/>
      <w:bCs/>
      <w:kern w:val="0"/>
      <w:sz w:val="20"/>
      <w:szCs w:val="20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qFormat/>
    <w:uiPriority w:val="99"/>
    <w:rPr>
      <w:sz w:val="21"/>
      <w:szCs w:val="21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2">
    <w:name w:val="批注框文本 Char1"/>
    <w:basedOn w:val="16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1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4">
    <w:name w:val="页眉 Char1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5">
    <w:name w:val="正文文本 字符"/>
    <w:basedOn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正文文本 Char"/>
    <w:link w:val="3"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7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30">
    <w:name w:val="正文文本 (2)_"/>
    <w:link w:val="31"/>
    <w:qFormat/>
    <w:uiPriority w:val="99"/>
    <w:rPr>
      <w:rFonts w:ascii="宋体" w:cs="宋体"/>
      <w:spacing w:val="30"/>
      <w:sz w:val="28"/>
      <w:szCs w:val="28"/>
      <w:shd w:val="clear" w:color="auto" w:fill="FFFFFF"/>
    </w:rPr>
  </w:style>
  <w:style w:type="paragraph" w:customStyle="1" w:styleId="31">
    <w:name w:val="正文文本 (2)1"/>
    <w:basedOn w:val="1"/>
    <w:link w:val="30"/>
    <w:qFormat/>
    <w:uiPriority w:val="99"/>
    <w:pPr>
      <w:shd w:val="clear" w:color="auto" w:fill="FFFFFF"/>
      <w:spacing w:before="720" w:after="840" w:line="240" w:lineRule="atLeast"/>
      <w:jc w:val="right"/>
    </w:pPr>
    <w:rPr>
      <w:rFonts w:ascii="宋体" w:eastAsia="宋体" w:cs="宋体"/>
      <w:spacing w:val="30"/>
      <w:kern w:val="0"/>
      <w:sz w:val="28"/>
      <w:szCs w:val="28"/>
    </w:rPr>
  </w:style>
  <w:style w:type="character" w:customStyle="1" w:styleId="32">
    <w:name w:val="标题 #3_"/>
    <w:link w:val="33"/>
    <w:qFormat/>
    <w:uiPriority w:val="99"/>
    <w:rPr>
      <w:rFonts w:ascii="宋体" w:cs="宋体"/>
      <w:spacing w:val="-20"/>
      <w:sz w:val="42"/>
      <w:szCs w:val="42"/>
      <w:shd w:val="clear" w:color="auto" w:fill="FFFFFF"/>
    </w:rPr>
  </w:style>
  <w:style w:type="paragraph" w:customStyle="1" w:styleId="33">
    <w:name w:val="标题 #3"/>
    <w:basedOn w:val="1"/>
    <w:link w:val="32"/>
    <w:qFormat/>
    <w:uiPriority w:val="99"/>
    <w:pPr>
      <w:shd w:val="clear" w:color="auto" w:fill="FFFFFF"/>
      <w:spacing w:after="300" w:line="240" w:lineRule="atLeast"/>
      <w:jc w:val="center"/>
      <w:outlineLvl w:val="2"/>
    </w:pPr>
    <w:rPr>
      <w:rFonts w:ascii="宋体" w:eastAsia="宋体" w:cs="宋体"/>
      <w:spacing w:val="-20"/>
      <w:kern w:val="0"/>
      <w:sz w:val="42"/>
      <w:szCs w:val="42"/>
    </w:rPr>
  </w:style>
  <w:style w:type="character" w:customStyle="1" w:styleId="34">
    <w:name w:val="标题 #4_"/>
    <w:link w:val="35"/>
    <w:qFormat/>
    <w:uiPriority w:val="99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paragraph" w:customStyle="1" w:styleId="35">
    <w:name w:val="标题 #4"/>
    <w:basedOn w:val="1"/>
    <w:link w:val="34"/>
    <w:qFormat/>
    <w:uiPriority w:val="99"/>
    <w:pPr>
      <w:shd w:val="clear" w:color="auto" w:fill="FFFFFF"/>
      <w:spacing w:before="720" w:after="720" w:line="240" w:lineRule="atLeast"/>
      <w:jc w:val="center"/>
      <w:outlineLvl w:val="3"/>
    </w:pPr>
    <w:rPr>
      <w:rFonts w:ascii="宋体" w:eastAsia="宋体" w:cs="宋体"/>
      <w:b/>
      <w:bCs/>
      <w:spacing w:val="40"/>
      <w:kern w:val="0"/>
      <w:sz w:val="30"/>
      <w:szCs w:val="30"/>
    </w:rPr>
  </w:style>
  <w:style w:type="character" w:customStyle="1" w:styleId="36">
    <w:name w:val="标题 #4 + 间距 3 pt"/>
    <w:qFormat/>
    <w:uiPriority w:val="99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37">
    <w:name w:val="正文文本缩进 21"/>
    <w:basedOn w:val="1"/>
    <w:qFormat/>
    <w:uiPriority w:val="0"/>
    <w:pPr>
      <w:spacing w:after="120" w:line="480" w:lineRule="auto"/>
      <w:ind w:left="200" w:leftChars="200"/>
    </w:pPr>
    <w:rPr>
      <w:rFonts w:ascii="Calibri" w:hAnsi="Calibri" w:eastAsia="宋体"/>
    </w:rPr>
  </w:style>
  <w:style w:type="paragraph" w:customStyle="1" w:styleId="38">
    <w:name w:val="大标题"/>
    <w:basedOn w:val="13"/>
    <w:qFormat/>
    <w:uiPriority w:val="0"/>
    <w:pPr>
      <w:spacing w:line="600" w:lineRule="exact"/>
    </w:pPr>
    <w:rPr>
      <w:rFonts w:hint="eastAsia" w:ascii="仿宋_GB2312" w:hAnsi="仿宋_GB2312" w:eastAsia="方正小标宋_GBK" w:cs="仿宋_GB2312"/>
      <w:bCs w:val="0"/>
      <w:spacing w:val="8"/>
      <w:sz w:val="44"/>
      <w:shd w:val="clear" w:color="auto" w:fill="FFFFFF"/>
    </w:rPr>
  </w:style>
  <w:style w:type="character" w:customStyle="1" w:styleId="39">
    <w:name w:val="标题 Char"/>
    <w:basedOn w:val="16"/>
    <w:link w:val="1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0">
    <w:name w:val="批注主题 Char"/>
    <w:link w:val="14"/>
    <w:qFormat/>
    <w:uiPriority w:val="99"/>
    <w:rPr>
      <w:b/>
      <w:bCs/>
    </w:rPr>
  </w:style>
  <w:style w:type="character" w:customStyle="1" w:styleId="41">
    <w:name w:val="批注文字 字符"/>
    <w:basedOn w:val="16"/>
    <w:semiHidden/>
    <w:qFormat/>
    <w:uiPriority w:val="99"/>
  </w:style>
  <w:style w:type="character" w:customStyle="1" w:styleId="42">
    <w:name w:val="批注文字 Char"/>
    <w:basedOn w:val="16"/>
    <w:link w:val="7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3">
    <w:name w:val="批注主题 字符1"/>
    <w:basedOn w:val="4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4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45">
    <w:name w:val="emtidy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6">
    <w:name w:val="日期 字符"/>
    <w:basedOn w:val="1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7">
    <w:name w:val="日期 Char"/>
    <w:basedOn w:val="16"/>
    <w:link w:val="8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48">
    <w:name w:val="批注框文本 Char"/>
    <w:semiHidden/>
    <w:qFormat/>
    <w:uiPriority w:val="99"/>
    <w:rPr>
      <w:sz w:val="18"/>
      <w:szCs w:val="18"/>
    </w:rPr>
  </w:style>
  <w:style w:type="character" w:customStyle="1" w:styleId="49">
    <w:name w:val="NormalCharacter"/>
    <w:semiHidden/>
    <w:qFormat/>
    <w:uiPriority w:val="0"/>
  </w:style>
  <w:style w:type="character" w:customStyle="1" w:styleId="50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5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3">
    <w:name w:val="信息标题 Char"/>
    <w:basedOn w:val="16"/>
    <w:link w:val="2"/>
    <w:qFormat/>
    <w:uiPriority w:val="0"/>
    <w:rPr>
      <w:rFonts w:ascii="Cambria" w:hAnsi="Cambria"/>
      <w:kern w:val="2"/>
      <w:sz w:val="24"/>
      <w:szCs w:val="24"/>
      <w:shd w:val="pct20" w:color="auto" w:fill="auto"/>
    </w:rPr>
  </w:style>
  <w:style w:type="paragraph" w:customStyle="1" w:styleId="54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1154</Words>
  <Characters>1171</Characters>
  <Lines>20</Lines>
  <Paragraphs>5</Paragraphs>
  <TotalTime>2</TotalTime>
  <ScaleCrop>false</ScaleCrop>
  <LinksUpToDate>false</LinksUpToDate>
  <CharactersWithSpaces>1177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2024-09-24T10:42:00Z</dcterms:created>
  <dc:creator>t</dc:creator>
  <cp:lastModifiedBy>白永学</cp:lastModifiedBy>
  <cp:lastPrinted>2024-09-24T10:45:00Z</cp:lastPrinted>
  <dcterms:modified xsi:type="dcterms:W3CDTF">2025-04-01T11:02:27Z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3F8BF34451D741589BD6948485CB3333_13</vt:lpwstr>
  </property>
  <property fmtid="{D5CDD505-2E9C-101B-9397-08002B2CF9AE}" pid="4" name="KSOTemplateDocerSaveRecord">
    <vt:lpwstr>eyJoZGlkIjoiZGFkZDI5NmE5YjQ5NTYwZTQxOThlMmEyYzAzNTk2ZjYiLCJ1c2VySWQiOiI2MDE5MTgwMDUifQ==</vt:lpwstr>
  </property>
</Properties>
</file>