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CB640">
      <w:pPr>
        <w:pStyle w:val="2"/>
        <w:overflowPunct w:val="0"/>
        <w:spacing w:line="580" w:lineRule="exact"/>
        <w:rPr>
          <w:rFonts w:hint="eastAsia" w:ascii="黑体" w:hAnsi="黑体" w:eastAsia="黑体" w:cs="黑体"/>
          <w:snapToGrid w:val="0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附件：</w:t>
      </w:r>
    </w:p>
    <w:p w14:paraId="6BD7EA8F">
      <w:pPr>
        <w:pStyle w:val="5"/>
        <w:overflowPunct w:val="0"/>
        <w:spacing w:before="0" w:beforeAutospacing="0" w:after="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333333"/>
          <w:sz w:val="44"/>
          <w:szCs w:val="44"/>
          <w:shd w:val="clear" w:color="auto" w:fill="FFFFFF"/>
        </w:rPr>
      </w:pPr>
    </w:p>
    <w:p w14:paraId="654A1924">
      <w:pPr>
        <w:pStyle w:val="5"/>
        <w:overflowPunct w:val="0"/>
        <w:spacing w:before="0" w:beforeAutospacing="0" w:after="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333333"/>
          <w:sz w:val="44"/>
          <w:szCs w:val="44"/>
          <w:shd w:val="clear" w:color="auto" w:fill="FFFFFF"/>
        </w:rPr>
        <w:t>排水管网工程施工安全重点提示事项</w:t>
      </w:r>
    </w:p>
    <w:p w14:paraId="495F80CF">
      <w:pPr>
        <w:pStyle w:val="5"/>
        <w:overflowPunct w:val="0"/>
        <w:spacing w:before="0" w:beforeAutospacing="0" w:after="0" w:afterAutospacing="0"/>
        <w:ind w:firstLine="850" w:firstLineChars="200"/>
        <w:jc w:val="both"/>
        <w:rPr>
          <w:rFonts w:hint="eastAsia" w:ascii="方正仿宋_GBK" w:hAnsi="方正仿宋_GBK" w:eastAsia="方正仿宋_GBK" w:cs="方正仿宋_GBK"/>
          <w:snapToGrid w:val="0"/>
          <w:color w:val="333333"/>
          <w:sz w:val="32"/>
          <w:szCs w:val="32"/>
          <w:shd w:val="clear" w:color="auto" w:fill="FFFFFF"/>
        </w:rPr>
      </w:pPr>
    </w:p>
    <w:p w14:paraId="2BD7D724">
      <w:pPr>
        <w:overflowPunct w:val="0"/>
        <w:ind w:firstLine="637" w:firstLineChars="150"/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一、排水管网工程涉及与燃气、电力等危险管道相邻平行或垂直交叉的，涉及军用光纤等特殊部门的特殊管线的，涉及轨道控保区、铁路保护区的，施工单位必须报其他相关单位确认同意并采取保护措施，消除事故隐患后，方可施工。</w:t>
      </w:r>
    </w:p>
    <w:p w14:paraId="71405189">
      <w:pPr>
        <w:overflowPunct w:val="0"/>
        <w:ind w:firstLine="637" w:firstLineChars="150"/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二、对于管沟（槽）深度浅、可放坡开挖的，必须采取相应的施工防护措施。</w:t>
      </w:r>
    </w:p>
    <w:p w14:paraId="62DCCC3D">
      <w:pPr>
        <w:overflowPunct w:val="0"/>
        <w:ind w:firstLine="637" w:firstLineChars="150"/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三、管沟（槽）开挖时，如有与现有管线交叉、无法按施工方案支护或放坡的，应由设计单位明确支护方式，监理、建设单位确认后方可施工。</w:t>
      </w:r>
    </w:p>
    <w:p w14:paraId="5B953FEA">
      <w:pPr>
        <w:overflowPunct w:val="0"/>
        <w:ind w:firstLine="637" w:firstLineChars="150"/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四、管沟（槽）开挖过程中严禁将弃土堆放在槽边，应按规范保持与槽壁一定距离并及时运走；上下沟槽时需配备足够长度和强度的梯子，确保疏散通道畅通。</w:t>
      </w:r>
    </w:p>
    <w:p w14:paraId="6251B99C">
      <w:pPr>
        <w:overflowPunct w:val="0"/>
        <w:ind w:firstLine="637" w:firstLineChars="150"/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五、开挖沟槽应做好围护工作，夜间需设安全警示灯，凡井、穴、洞等低于地面的均覆以加固盖板和防护栏杆作为围挡（防护栏杆加挂密目安全网和挡脚板，防护栏杆应安装牢固，材料应有足够的强度，并挂设安全警示标识），井口平面加挂安全平网。</w:t>
      </w:r>
    </w:p>
    <w:p w14:paraId="58830D2D">
      <w:pPr>
        <w:overflowPunct w:val="0"/>
        <w:ind w:firstLine="637" w:firstLineChars="150"/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六、施工现场应装设安全牌或警示牌，存在占道施工的，应根据实际情况制定交通疏解和安全防护方案，提前向城市管理部门办理占道施工许可审批手续；施工现场严格按照占道施工方案要求实施。</w:t>
      </w:r>
    </w:p>
    <w:p w14:paraId="4AFB0A4E">
      <w:pPr>
        <w:overflowPunct w:val="0"/>
        <w:ind w:firstLine="637" w:firstLineChars="150"/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七、涉有限空间作业的排水管网工程，项目必须提前将作业计划书面报工程监督机构备案，并做好有限空间危险源辨识，明确责任人员，完善有限空间管理台账；作业人员必须佩戴符合要求的全身式安全带、安全绳，设置专人监护并掌握正确救援方法；作业必须严格执行审批管理和现场管理制度，严格执行“先通风、再检测、后作业”的程序，作业中必须持续强制通风，确保空气流通。</w:t>
      </w:r>
    </w:p>
    <w:p w14:paraId="07890D3C">
      <w:pPr>
        <w:overflowPunct w:val="0"/>
        <w:ind w:firstLine="637" w:firstLineChars="150"/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八、设置有效的地面截水和坑底排水措施（明沟、集水井、水泵），防止积水浸泡导致边坡失稳。</w:t>
      </w:r>
    </w:p>
    <w:p w14:paraId="61C51C26">
      <w:pPr>
        <w:overflowPunct w:val="0"/>
        <w:ind w:firstLine="637" w:firstLineChars="15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九、现场临时用电要严格执行</w:t>
      </w:r>
      <w:r>
        <w:rPr>
          <w:rFonts w:hint="default" w:ascii="Times New Roman" w:hAnsi="Times New Roman" w:eastAsia="方正仿宋_GBK" w:cs="Times New Roman"/>
          <w:snapToGrid w:val="0"/>
          <w:color w:val="333333"/>
          <w:kern w:val="0"/>
          <w:sz w:val="32"/>
          <w:szCs w:val="32"/>
          <w:shd w:val="clear" w:color="auto" w:fill="FFFFFF"/>
        </w:rPr>
        <w:t>TN</w:t>
      </w: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-</w:t>
      </w:r>
      <w:r>
        <w:rPr>
          <w:rFonts w:hint="default" w:ascii="Times New Roman" w:hAnsi="Times New Roman" w:eastAsia="方正仿宋_GBK" w:cs="Times New Roman"/>
          <w:snapToGrid w:val="0"/>
          <w:color w:val="333333"/>
          <w:kern w:val="0"/>
          <w:sz w:val="32"/>
          <w:szCs w:val="32"/>
          <w:shd w:val="clear" w:color="auto" w:fill="FFFFFF"/>
        </w:rPr>
        <w:t>S</w:t>
      </w: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系统（三相五线制），做到三级配电（总-分-开关箱）、两级保护（首末端漏电保护器）。每台用电设备必须有独立的开关箱和匹配的漏电保护器。电缆线应架空或埋地敷设，避免碾压、水泡，架空高度符合要求。在潮湿、易积水区域（基坑内、井边），必须使用安全电压（≤</w:t>
      </w:r>
      <w:r>
        <w:rPr>
          <w:rFonts w:hint="default" w:ascii="Times New Roman" w:hAnsi="Times New Roman" w:eastAsia="方正仿宋_GBK" w:cs="Times New Roman"/>
          <w:snapToGrid w:val="0"/>
          <w:color w:val="333333"/>
          <w:kern w:val="0"/>
          <w:sz w:val="32"/>
          <w:szCs w:val="32"/>
          <w:shd w:val="clear" w:color="auto" w:fill="FFFFFF"/>
        </w:rPr>
        <w:t>36V</w:t>
      </w: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，特别潮湿≤</w:t>
      </w:r>
      <w:r>
        <w:rPr>
          <w:rFonts w:hint="default" w:ascii="Times New Roman" w:hAnsi="Times New Roman" w:eastAsia="方正仿宋_GBK" w:cs="Times New Roman"/>
          <w:snapToGrid w:val="0"/>
          <w:color w:val="333333"/>
          <w:kern w:val="0"/>
          <w:sz w:val="32"/>
          <w:szCs w:val="32"/>
          <w:shd w:val="clear" w:color="auto" w:fill="FFFFFF"/>
        </w:rPr>
        <w:t>12V</w:t>
      </w:r>
      <w:r>
        <w:rPr>
          <w:rFonts w:hint="eastAsia" w:ascii="方正仿宋_GBK" w:hAnsi="方正仿宋_GBK" w:eastAsia="方正仿宋_GBK" w:cs="方正仿宋_GBK"/>
          <w:snapToGrid w:val="0"/>
          <w:color w:val="333333"/>
          <w:kern w:val="0"/>
          <w:sz w:val="32"/>
          <w:szCs w:val="32"/>
          <w:shd w:val="clear" w:color="auto" w:fill="FFFFFF"/>
        </w:rPr>
        <w:t>）或加强绝缘防护。</w:t>
      </w:r>
    </w:p>
    <w:p w14:paraId="667B9037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720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73B5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8B8B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FEBE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0217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ABA6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2EC3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94CB1"/>
    <w:rsid w:val="35A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2025-07-29T03:34:00Z</dcterms:created>
  <dc:creator>弹琴不说爱</dc:creator>
  <cp:lastModifiedBy>弹琴不说爱</cp:lastModifiedBy>
  <dcterms:modified xsi:type="dcterms:W3CDTF">2025-07-29T03:35:16Z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D6FAF2E6D6DD40F4B44DC47FF407D2EB_11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