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"/>
        </w:rPr>
        <w:t>4</w:t>
      </w:r>
      <w:r>
        <w:rPr>
          <w:rFonts w:hint="eastAsia" w:eastAsia="方正小标宋_GBK" w:cs="Times New Roman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度建筑产业现代化示范项目实施计划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04" w:tblpY="527"/>
        <w:tblOverlap w:val="never"/>
        <w:tblW w:w="5216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09"/>
        <w:gridCol w:w="906"/>
        <w:gridCol w:w="854"/>
        <w:gridCol w:w="1020"/>
        <w:gridCol w:w="1291"/>
        <w:gridCol w:w="4534"/>
        <w:gridCol w:w="1296"/>
        <w:gridCol w:w="1239"/>
        <w:gridCol w:w="12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8" w:type="pct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5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09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方正仿宋_GBK" w:eastAsia="方正仿宋_GBK" w:cs="Times New Roman"/>
                <w:b/>
                <w:sz w:val="28"/>
                <w:szCs w:val="28"/>
                <w:lang w:bidi="ar"/>
              </w:rPr>
            </w:pPr>
            <w:r>
              <w:rPr>
                <w:rFonts w:hint="eastAsia" w:hAnsi="方正仿宋_GBK" w:cs="Times New Roman"/>
                <w:b/>
                <w:sz w:val="28"/>
                <w:szCs w:val="28"/>
                <w:lang w:eastAsia="zh-CN" w:bidi="ar"/>
              </w:rPr>
              <w:t>实施</w:t>
            </w: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楼栋</w:t>
            </w:r>
          </w:p>
        </w:tc>
        <w:tc>
          <w:tcPr>
            <w:tcW w:w="291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建筑类型</w:t>
            </w:r>
          </w:p>
        </w:tc>
        <w:tc>
          <w:tcPr>
            <w:tcW w:w="348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eastAsia="zh-CN" w:bidi="ar"/>
              </w:rPr>
            </w:pPr>
            <w:r>
              <w:rPr>
                <w:rFonts w:hint="eastAsia" w:hAnsi="方正仿宋_GBK" w:cs="Times New Roman"/>
                <w:b/>
                <w:sz w:val="28"/>
                <w:szCs w:val="28"/>
                <w:lang w:eastAsia="zh-CN" w:bidi="ar"/>
              </w:rPr>
              <w:t>装配率</w:t>
            </w:r>
          </w:p>
        </w:tc>
        <w:tc>
          <w:tcPr>
            <w:tcW w:w="441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示范面积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（万㎡）</w:t>
            </w:r>
          </w:p>
        </w:tc>
        <w:tc>
          <w:tcPr>
            <w:tcW w:w="1549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示范内容</w:t>
            </w:r>
          </w:p>
        </w:tc>
        <w:tc>
          <w:tcPr>
            <w:tcW w:w="443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建设单位</w:t>
            </w:r>
          </w:p>
        </w:tc>
        <w:tc>
          <w:tcPr>
            <w:tcW w:w="423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所在地</w:t>
            </w:r>
          </w:p>
        </w:tc>
        <w:tc>
          <w:tcPr>
            <w:tcW w:w="438" w:type="pct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 w:cs="Times New Roman"/>
                <w:b/>
                <w:sz w:val="28"/>
                <w:szCs w:val="28"/>
                <w:lang w:bidi="ar"/>
              </w:rPr>
              <w:t>实施计划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8" w:type="pct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渝北区两路组团S07-1/05、S09-1/05、S12-1/04地块项目（S07-1/05地块）</w:t>
            </w:r>
          </w:p>
        </w:tc>
        <w:tc>
          <w:tcPr>
            <w:tcW w:w="30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1#~4#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楼</w:t>
            </w:r>
          </w:p>
        </w:tc>
        <w:tc>
          <w:tcPr>
            <w:tcW w:w="291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居住建筑</w:t>
            </w:r>
          </w:p>
        </w:tc>
        <w:tc>
          <w:tcPr>
            <w:tcW w:w="348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65</w:t>
            </w:r>
            <w:r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44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2.47</w:t>
            </w:r>
          </w:p>
        </w:tc>
        <w:tc>
          <w:tcPr>
            <w:tcW w:w="1549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1.优化居住建筑的装配式结构体系，将常用的装配式剪力墙结构调整为装配式框架结构，采用灌浆套筒预制柱，减少模板用量和现场湿作业。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2.采用条板搬运机器人、防水机器人、数位靠尺等智能设备，提高施工质量及效率，改善施工作业环境。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3.公区墙面采用复合瓷砖饰面的装配式装修技术。</w:t>
            </w:r>
          </w:p>
        </w:tc>
        <w:tc>
          <w:tcPr>
            <w:tcW w:w="443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重庆林畔花园置业有限公司</w:t>
            </w:r>
          </w:p>
        </w:tc>
        <w:tc>
          <w:tcPr>
            <w:tcW w:w="423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渝北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438" w:type="pc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tcMar>
              <w:top w:w="11" w:type="dxa"/>
              <w:left w:w="34" w:type="dxa"/>
              <w:bottom w:w="11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bidi="ar"/>
              </w:rPr>
              <w:t>-202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 w:bidi="ar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2024-07-12T09:38:18Z</dcterms:created>
  <dc:creator>Renkemumumunei</dc:creator>
  <cp:lastModifiedBy>WPS_1635931329</cp:lastModifiedBy>
  <dcterms:modified xsi:type="dcterms:W3CDTF">2024-07-12T09:39:06Z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9E933046B84149188237BB781CEB2A3C</vt:lpwstr>
  </property>
</Properties>
</file>