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2DC17">
      <w:pPr>
        <w:spacing w:line="560" w:lineRule="exact"/>
        <w:ind w:right="1280"/>
        <w:jc w:val="left"/>
        <w:rPr>
          <w:rFonts w:ascii="Times New Roman" w:hAnsi="Times New Roman" w:eastAsia="黑体" w:cs="Times New Roman"/>
          <w:szCs w:val="32"/>
          <w:highlight w:val="none"/>
        </w:rPr>
      </w:pPr>
      <w:r>
        <w:rPr>
          <w:rFonts w:ascii="Times New Roman" w:hAnsi="Times New Roman" w:eastAsia="黑体" w:cs="Times New Roman"/>
          <w:szCs w:val="32"/>
          <w:highlight w:val="none"/>
        </w:rPr>
        <w:t>附件2</w:t>
      </w:r>
    </w:p>
    <w:p w14:paraId="27A3C599">
      <w:pPr>
        <w:spacing w:line="560" w:lineRule="exact"/>
        <w:ind w:right="1280"/>
        <w:jc w:val="left"/>
        <w:rPr>
          <w:rFonts w:ascii="Times New Roman" w:hAnsi="Times New Roman" w:eastAsia="方正仿宋_GBK" w:cs="Times New Roman"/>
          <w:szCs w:val="32"/>
          <w:highlight w:val="none"/>
        </w:rPr>
      </w:pPr>
    </w:p>
    <w:p w14:paraId="13A68ADA">
      <w:pPr>
        <w:spacing w:line="560" w:lineRule="exact"/>
        <w:ind w:right="55"/>
        <w:jc w:val="center"/>
        <w:rPr>
          <w:rFonts w:ascii="Times New Roman" w:hAnsi="Times New Roman" w:eastAsia="方正小标宋_GBK" w:cs="Times New Roman"/>
          <w:sz w:val="44"/>
          <w:szCs w:val="44"/>
          <w:highlight w:val="none"/>
        </w:rPr>
      </w:pPr>
      <w:r>
        <w:rPr>
          <w:rFonts w:hint="eastAsia" w:ascii="Times New Roman" w:hAnsi="Times New Roman" w:eastAsia="方正小标宋_GBK" w:cs="Times New Roman"/>
          <w:sz w:val="44"/>
          <w:szCs w:val="44"/>
          <w:highlight w:val="none"/>
        </w:rPr>
        <w:t>市、区</w:t>
      </w:r>
      <w:r>
        <w:rPr>
          <w:rFonts w:ascii="Times New Roman" w:hAnsi="Times New Roman" w:eastAsia="方正小标宋_GBK" w:cs="Times New Roman"/>
          <w:sz w:val="44"/>
          <w:szCs w:val="44"/>
          <w:highlight w:val="none"/>
        </w:rPr>
        <w:t>建筑业企业、工程监理企业资质</w:t>
      </w:r>
    </w:p>
    <w:p w14:paraId="172CE826">
      <w:pPr>
        <w:spacing w:line="560" w:lineRule="exact"/>
        <w:ind w:right="55"/>
        <w:jc w:val="center"/>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rPr>
        <w:t>审批权限分级</w:t>
      </w:r>
      <w:r>
        <w:rPr>
          <w:rFonts w:hint="eastAsia" w:ascii="Times New Roman" w:hAnsi="Times New Roman" w:eastAsia="方正小标宋_GBK" w:cs="Times New Roman"/>
          <w:sz w:val="44"/>
          <w:szCs w:val="44"/>
          <w:highlight w:val="none"/>
        </w:rPr>
        <w:t>清单</w:t>
      </w:r>
    </w:p>
    <w:p w14:paraId="18A1A36C">
      <w:pPr>
        <w:spacing w:line="560" w:lineRule="exact"/>
        <w:ind w:right="55" w:firstLine="872" w:firstLineChars="200"/>
        <w:jc w:val="center"/>
        <w:rPr>
          <w:rFonts w:ascii="Times New Roman" w:hAnsi="Times New Roman" w:eastAsia="方正黑体_GBK" w:cs="Times New Roman"/>
          <w:sz w:val="44"/>
          <w:szCs w:val="44"/>
          <w:highlight w:val="none"/>
        </w:rPr>
      </w:pPr>
    </w:p>
    <w:p w14:paraId="53E0C2F8">
      <w:pPr>
        <w:spacing w:line="560" w:lineRule="exact"/>
        <w:ind w:right="55" w:firstLine="632" w:firstLineChars="200"/>
        <w:rPr>
          <w:rFonts w:ascii="Times New Roman" w:hAnsi="Times New Roman" w:eastAsia="方正黑体_GBK" w:cs="Times New Roman"/>
          <w:color w:val="000000" w:themeColor="text1"/>
          <w:szCs w:val="32"/>
          <w:highlight w:val="none"/>
          <w14:textFill>
            <w14:solidFill>
              <w14:schemeClr w14:val="tx1"/>
            </w14:solidFill>
          </w14:textFill>
        </w:rPr>
      </w:pPr>
      <w:r>
        <w:rPr>
          <w:rFonts w:hint="eastAsia" w:ascii="Times New Roman" w:hAnsi="Times New Roman" w:eastAsia="方正黑体_GBK" w:cs="Times New Roman"/>
          <w:color w:val="000000" w:themeColor="text1"/>
          <w:szCs w:val="32"/>
          <w:highlight w:val="none"/>
          <w14:textFill>
            <w14:solidFill>
              <w14:schemeClr w14:val="tx1"/>
            </w14:solidFill>
          </w14:textFill>
        </w:rPr>
        <w:t>一</w:t>
      </w:r>
      <w:r>
        <w:rPr>
          <w:rFonts w:ascii="Times New Roman" w:hAnsi="Times New Roman" w:eastAsia="方正黑体_GBK" w:cs="Times New Roman"/>
          <w:color w:val="000000" w:themeColor="text1"/>
          <w:szCs w:val="32"/>
          <w:highlight w:val="none"/>
          <w14:textFill>
            <w14:solidFill>
              <w14:schemeClr w14:val="tx1"/>
            </w14:solidFill>
          </w14:textFill>
        </w:rPr>
        <w:t>、市级建设工程企业资质审批权限</w:t>
      </w:r>
    </w:p>
    <w:p w14:paraId="168D7D98">
      <w:pPr>
        <w:spacing w:line="560" w:lineRule="exact"/>
        <w:ind w:right="55" w:firstLine="632" w:firstLineChars="200"/>
        <w:rPr>
          <w:rFonts w:ascii="Times New Roman" w:hAnsi="Times New Roman" w:eastAsia="方正仿宋_GBK" w:cs="Times New Roman"/>
          <w:color w:val="000000" w:themeColor="text1"/>
          <w:szCs w:val="32"/>
          <w:highlight w:val="none"/>
          <w14:textFill>
            <w14:solidFill>
              <w14:schemeClr w14:val="tx1"/>
            </w14:solidFill>
          </w14:textFill>
        </w:rPr>
      </w:pPr>
      <w:r>
        <w:rPr>
          <w:rFonts w:ascii="Times New Roman" w:hAnsi="Times New Roman" w:eastAsia="方正楷体_GBK" w:cs="Times New Roman"/>
          <w:color w:val="000000" w:themeColor="text1"/>
          <w:szCs w:val="32"/>
          <w:highlight w:val="none"/>
          <w14:textFill>
            <w14:solidFill>
              <w14:schemeClr w14:val="tx1"/>
            </w14:solidFill>
          </w14:textFill>
        </w:rPr>
        <w:t>建筑业企业资质：</w:t>
      </w:r>
      <w:r>
        <w:rPr>
          <w:rFonts w:ascii="Times New Roman" w:hAnsi="Times New Roman" w:eastAsia="方正仿宋_GBK" w:cs="Times New Roman"/>
          <w:color w:val="000000" w:themeColor="text1"/>
          <w:szCs w:val="32"/>
          <w:highlight w:val="none"/>
          <w14:textFill>
            <w14:solidFill>
              <w14:schemeClr w14:val="tx1"/>
            </w14:solidFill>
          </w14:textFill>
        </w:rPr>
        <w:t>施工总承包资质序列二级资质及铁路、通信工程施工总承包三级资质；专业承包资质序列一级资质（不含公路、水运、水利、铁路、民航方面的专业承包一级资质及涉及多个专业的专业承包一级资质）；专业承包资质序列二级资质（不含铁路、民航方面的专业承包二级资质以及下放给各区县的电子与智能化工程二级、消防设施工程二级、防水防腐保温工程二级、建筑装修装饰工程二级、建筑幕墙工程二级、特种工程资质）。</w:t>
      </w:r>
    </w:p>
    <w:p w14:paraId="5233E49A">
      <w:pPr>
        <w:spacing w:line="560" w:lineRule="exact"/>
        <w:ind w:right="55" w:firstLine="632" w:firstLineChars="200"/>
        <w:rPr>
          <w:rFonts w:ascii="Times New Roman" w:hAnsi="Times New Roman" w:eastAsia="方正黑体_GBK" w:cs="Times New Roman"/>
          <w:color w:val="000000" w:themeColor="text1"/>
          <w:szCs w:val="32"/>
          <w:highlight w:val="none"/>
          <w14:textFill>
            <w14:solidFill>
              <w14:schemeClr w14:val="tx1"/>
            </w14:solidFill>
          </w14:textFill>
        </w:rPr>
      </w:pPr>
      <w:r>
        <w:rPr>
          <w:rFonts w:hint="eastAsia" w:ascii="Times New Roman" w:hAnsi="Times New Roman" w:eastAsia="方正黑体_GBK" w:cs="Times New Roman"/>
          <w:color w:val="000000" w:themeColor="text1"/>
          <w:szCs w:val="32"/>
          <w:highlight w:val="none"/>
          <w14:textFill>
            <w14:solidFill>
              <w14:schemeClr w14:val="tx1"/>
            </w14:solidFill>
          </w14:textFill>
        </w:rPr>
        <w:t>二</w:t>
      </w:r>
      <w:r>
        <w:rPr>
          <w:rFonts w:ascii="Times New Roman" w:hAnsi="Times New Roman" w:eastAsia="方正黑体_GBK" w:cs="Times New Roman"/>
          <w:color w:val="000000" w:themeColor="text1"/>
          <w:szCs w:val="32"/>
          <w:highlight w:val="none"/>
          <w14:textFill>
            <w14:solidFill>
              <w14:schemeClr w14:val="tx1"/>
            </w14:solidFill>
          </w14:textFill>
        </w:rPr>
        <w:t>、区（县）级建设工程企业资质审批权限</w:t>
      </w:r>
    </w:p>
    <w:p w14:paraId="1DCCDCA4">
      <w:pPr>
        <w:spacing w:line="560" w:lineRule="exact"/>
        <w:ind w:right="55" w:firstLine="632" w:firstLineChars="200"/>
        <w:rPr>
          <w:rFonts w:ascii="Times New Roman" w:hAnsi="Times New Roman" w:eastAsia="方正仿宋_GBK" w:cs="Times New Roman"/>
          <w:color w:val="000000" w:themeColor="text1"/>
          <w:szCs w:val="32"/>
          <w:highlight w:val="none"/>
          <w14:textFill>
            <w14:solidFill>
              <w14:schemeClr w14:val="tx1"/>
            </w14:solidFill>
          </w14:textFill>
        </w:rPr>
      </w:pPr>
      <w:r>
        <w:rPr>
          <w:rFonts w:ascii="Times New Roman" w:hAnsi="Times New Roman" w:eastAsia="方正楷体_GBK" w:cs="Times New Roman"/>
          <w:color w:val="000000" w:themeColor="text1"/>
          <w:szCs w:val="32"/>
          <w:highlight w:val="none"/>
          <w14:textFill>
            <w14:solidFill>
              <w14:schemeClr w14:val="tx1"/>
            </w14:solidFill>
          </w14:textFill>
        </w:rPr>
        <w:t>建筑业企业资质：</w:t>
      </w:r>
      <w:r>
        <w:rPr>
          <w:rFonts w:ascii="Times New Roman" w:hAnsi="Times New Roman" w:eastAsia="方正仿宋_GBK" w:cs="Times New Roman"/>
          <w:color w:val="000000" w:themeColor="text1"/>
          <w:szCs w:val="32"/>
          <w:highlight w:val="none"/>
          <w14:textFill>
            <w14:solidFill>
              <w14:schemeClr w14:val="tx1"/>
            </w14:solidFill>
          </w14:textFill>
        </w:rPr>
        <w:t>施工劳务资质；电子与智能化工程二级、消防设施工程二级、防水防腐保温工程二级、建筑装修装饰工程二级、建筑幕墙工程二级、特种工程资质。</w:t>
      </w:r>
    </w:p>
    <w:p w14:paraId="5C7CEC64">
      <w:pPr>
        <w:spacing w:line="560" w:lineRule="exact"/>
        <w:ind w:right="55" w:firstLine="632" w:firstLineChars="200"/>
        <w:rPr>
          <w:rFonts w:ascii="Times New Roman" w:hAnsi="Times New Roman" w:eastAsia="方正仿宋_GBK" w:cs="Times New Roman"/>
          <w:color w:val="000000" w:themeColor="text1"/>
          <w:szCs w:val="32"/>
          <w:highlight w:val="none"/>
          <w14:textFill>
            <w14:solidFill>
              <w14:schemeClr w14:val="tx1"/>
            </w14:solidFill>
          </w14:textFill>
        </w:rPr>
      </w:pPr>
      <w:r>
        <w:rPr>
          <w:rFonts w:ascii="Times New Roman" w:hAnsi="Times New Roman" w:eastAsia="方正楷体_GBK" w:cs="Times New Roman"/>
          <w:color w:val="000000" w:themeColor="text1"/>
          <w:szCs w:val="32"/>
          <w:highlight w:val="none"/>
          <w14:textFill>
            <w14:solidFill>
              <w14:schemeClr w14:val="tx1"/>
            </w14:solidFill>
          </w14:textFill>
        </w:rPr>
        <w:t>监理企业资质：</w:t>
      </w:r>
      <w:r>
        <w:rPr>
          <w:rFonts w:ascii="Times New Roman" w:hAnsi="Times New Roman" w:eastAsia="方正仿宋_GBK" w:cs="Times New Roman"/>
          <w:color w:val="000000" w:themeColor="text1"/>
          <w:szCs w:val="32"/>
          <w:highlight w:val="none"/>
          <w14:textFill>
            <w14:solidFill>
              <w14:schemeClr w14:val="tx1"/>
            </w14:solidFill>
          </w14:textFill>
        </w:rPr>
        <w:t>房屋建筑工程、冶炼工程、矿山工程、化工石油工程、电力工程、铁路工程、航天航空工程、通信工程、市政公用工程、机电安装工程专业乙级资。</w:t>
      </w:r>
    </w:p>
    <w:p w14:paraId="0135A6A3">
      <w:bookmarkStart w:id="0" w:name="_GoBack"/>
      <w:bookmarkEnd w:id="0"/>
    </w:p>
    <w:sectPr>
      <w:footerReference r:id="rId3" w:type="default"/>
      <w:pgSz w:w="11906" w:h="16838"/>
      <w:pgMar w:top="2098" w:right="1474" w:bottom="1985" w:left="1588" w:header="851" w:footer="141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2349B70-CABD-45AB-9247-59ECEA77F9DF}"/>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2" w:fontKey="{66019678-7D49-43EB-8A9C-C62F7C7C2D3E}"/>
  </w:font>
  <w:font w:name="方正小标宋_GBK">
    <w:panose1 w:val="02000000000000000000"/>
    <w:charset w:val="86"/>
    <w:family w:val="script"/>
    <w:pitch w:val="default"/>
    <w:sig w:usb0="A00002BF" w:usb1="38CF7CFA" w:usb2="00082016" w:usb3="00000000" w:csb0="00040001" w:csb1="00000000"/>
    <w:embedRegular r:id="rId3" w:fontKey="{F95D6A93-E63F-4736-A359-3D21C4244D45}"/>
  </w:font>
  <w:font w:name="方正黑体_GBK">
    <w:panose1 w:val="02010600010101010101"/>
    <w:charset w:val="86"/>
    <w:family w:val="script"/>
    <w:pitch w:val="default"/>
    <w:sig w:usb0="00000001" w:usb1="080E0000" w:usb2="00000000" w:usb3="00000000" w:csb0="00040000" w:csb1="00000000"/>
    <w:embedRegular r:id="rId4" w:fontKey="{17976138-6F22-4A17-A0F6-DE928A059CE0}"/>
  </w:font>
  <w:font w:name="方正楷体_GBK">
    <w:panose1 w:val="03000509000000000000"/>
    <w:charset w:val="86"/>
    <w:family w:val="script"/>
    <w:pitch w:val="default"/>
    <w:sig w:usb0="00000001" w:usb1="080E0000" w:usb2="00000000" w:usb3="00000000" w:csb0="00040000" w:csb1="00000000"/>
    <w:embedRegular r:id="rId5" w:fontKey="{A6276734-424B-4A51-B328-761B9330EB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2135344"/>
    </w:sdtPr>
    <w:sdtContent>
      <w:p w14:paraId="1DB184BB">
        <w:pPr>
          <w:pStyle w:val="2"/>
          <w:jc w:val="center"/>
        </w:pPr>
        <w:r>
          <w:fldChar w:fldCharType="begin"/>
        </w:r>
        <w:r>
          <w:instrText xml:space="preserve">PAGE   \* MERGEFORMAT</w:instrText>
        </w:r>
        <w:r>
          <w:fldChar w:fldCharType="separate"/>
        </w:r>
        <w:r>
          <w:rPr>
            <w:lang w:val="zh-CN"/>
          </w:rPr>
          <w:t>4</w:t>
        </w:r>
        <w:r>
          <w:fldChar w:fldCharType="end"/>
        </w:r>
      </w:p>
    </w:sdtContent>
  </w:sdt>
  <w:p w14:paraId="7CD3765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NjM3ZTI0NGY3MzM1NWE4OTM4ODQ4YWVkZTBjNmMifQ=="/>
  </w:docVars>
  <w:rsids>
    <w:rsidRoot w:val="00000000"/>
    <w:rsid w:val="57412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2024-10-23T09:17:22Z</dcterms:created>
  <dc:creator>Administrator</dc:creator>
  <cp:lastModifiedBy>WX壹九九五</cp:lastModifiedBy>
  <dcterms:modified xsi:type="dcterms:W3CDTF">2024-10-23T09:17:23Z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FA04EF8B43E24FCE8843956C88C4BEB0_12</vt:lpwstr>
  </property>
</Properties>
</file>