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_GBK" w:cs="Times New Roman"/>
          <w:sz w:val="44"/>
          <w:szCs w:val="44"/>
          <w:lang w:val="en-US" w:eastAsia="zh-CN"/>
        </w:rPr>
      </w:pPr>
      <w:bookmarkStart w:id="0" w:name="_Toc97562175"/>
      <w:bookmarkEnd w:id="0"/>
      <w:bookmarkStart w:id="1" w:name="_Hlk133307736"/>
      <w:bookmarkEnd w:id="1"/>
      <w:bookmarkStart w:id="2" w:name="_Hlk37239649"/>
      <w:bookmarkEnd w:id="2"/>
      <w:r>
        <w:rPr>
          <w:rFonts w:hint="default" w:ascii="Times New Roman" w:hAnsi="Times New Roman" w:eastAsia="方正黑体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重庆市智能建造经验做法清单（第一批）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301"/>
        <w:gridCol w:w="10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man"/>
                <w:b w:val="0"/>
                <w:bCs w:val="0"/>
                <w:sz w:val="28"/>
                <w:szCs w:val="28"/>
                <w:vertAlign w:val="baseline"/>
                <w:lang w:val="en-US" w:eastAsia="zh-CN"/>
              </w:rPr>
              <w:t>序号</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man"/>
                <w:b w:val="0"/>
                <w:bCs w:val="0"/>
                <w:sz w:val="28"/>
                <w:szCs w:val="28"/>
                <w:vertAlign w:val="baseline"/>
                <w:lang w:val="en-US" w:eastAsia="zh-CN"/>
              </w:rPr>
              <w:t>主要举措</w:t>
            </w:r>
          </w:p>
        </w:tc>
        <w:tc>
          <w:tcPr>
            <w:tcW w:w="119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黑体_GBK" w:cs="Times New Roman"/>
                <w:b w:val="0"/>
                <w:bCs w:val="0"/>
                <w:sz w:val="28"/>
                <w:szCs w:val="28"/>
                <w:vertAlign w:val="baseline"/>
                <w:lang w:val="en-US" w:eastAsia="zh-CN"/>
              </w:rPr>
            </w:pPr>
            <w:r>
              <w:rPr>
                <w:rFonts w:hint="default" w:ascii="Times New Roman" w:hAnsi="Times New Roman" w:eastAsia="方正黑体_GBK" w:cs="Times New Roman"/>
                <w:b w:val="0"/>
                <w:bCs w:val="0"/>
                <w:sz w:val="28"/>
                <w:szCs w:val="28"/>
                <w:vertAlign w:val="baseline"/>
                <w:lang w:val="en-US" w:eastAsia="zh-CN"/>
              </w:rPr>
              <w:t>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一</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构建智能建造政策机制</w:t>
            </w:r>
          </w:p>
        </w:tc>
        <w:tc>
          <w:tcPr>
            <w:tcW w:w="119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涪陵区在全市率先印发《涪陵区智能建造产业发展规划（2023-2027年）》，明确产业发展路径与重点方向，设立5000万元规模的智能建造产业发展基金，</w:t>
            </w:r>
            <w:r>
              <w:rPr>
                <w:rFonts w:hint="eastAsia" w:ascii="方正仿宋_GBK" w:hAnsi="方正仿宋_GBK" w:eastAsia="方正仿宋_GBK" w:cs="方正仿宋_GBK"/>
                <w:sz w:val="28"/>
                <w:szCs w:val="28"/>
                <w:vertAlign w:val="baseline"/>
                <w:lang w:val="en-US" w:eastAsia="zh-CN"/>
              </w:rPr>
              <w:t>并构建“政策引导+多方协同”推进机制，由区政府分管副区长牵头，组织交通、</w:t>
            </w:r>
            <w:r>
              <w:rPr>
                <w:rFonts w:hint="default" w:ascii="Times New Roman" w:hAnsi="Times New Roman" w:eastAsia="方正仿宋_GBK" w:cs="Times New Roman"/>
                <w:sz w:val="28"/>
                <w:szCs w:val="28"/>
                <w:vertAlign w:val="baseline"/>
                <w:lang w:val="en-US" w:eastAsia="zh-CN"/>
              </w:rPr>
              <w:t>财政、科技、教育等部门成立4个专项工作组，形成跨部门协同的工作格局，系统推动智能建造高质量发展。</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巴南区印发《重庆市巴南区智能建造试点工作实施方案》《关于加强智能建造试点项目全过程管理的通知》，要求设计图纸编制智能建造专篇，并将智能建造应用要求纳入初步设计审批、施工图审查、质量安全监督及竣工验收等环节，形成智能建造技术应用全过程闭环管理机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永川区印发《永川区智能建造试点区建设实施方案（2025-2027年）》，</w:t>
            </w:r>
            <w:r>
              <w:rPr>
                <w:rFonts w:hint="eastAsia" w:ascii="方正仿宋_GBK" w:hAnsi="方正仿宋_GBK" w:eastAsia="方正仿宋_GBK" w:cs="方正仿宋_GBK"/>
                <w:sz w:val="28"/>
                <w:szCs w:val="28"/>
                <w:vertAlign w:val="baseline"/>
                <w:lang w:val="en-US" w:eastAsia="zh-CN"/>
              </w:rPr>
              <w:t>明确“三年三步走”阶段性任务，构建“政策引导+项目支撑+企业参与”的工作体系，</w:t>
            </w:r>
            <w:r>
              <w:rPr>
                <w:rFonts w:hint="default" w:ascii="Times New Roman" w:hAnsi="Times New Roman" w:eastAsia="方正仿宋_GBK" w:cs="Times New Roman"/>
                <w:sz w:val="28"/>
                <w:szCs w:val="28"/>
                <w:vertAlign w:val="baseline"/>
                <w:lang w:val="en-US" w:eastAsia="zh-CN"/>
              </w:rPr>
              <w:t>整合辖区19所高职院校、9所建筑类院校资源，支持重庆文理学院组建智能建造现代产业学院，成立智能建造卓越工程师联盟，开办卓越工程师培训班2期、培养人才100余名，逐步形成具有核心竞争力的人才梯队。</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重庆高新区上线建设管理一体化平台，集成智能建造政策宣传、飞行检查、预警提示等功能，打通监管部门与参建单位间的信息壁垒，确保管理指令精准、高效传达。累计开展线上检查超过1.3万次，推动隐患整改高效销项，已竣工项目661个，重点工程实现零投诉，并获得各级质量安全奖项80余项，一般生产安全事故起数及伤亡人数长期保持低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5"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二</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二</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推动智能建造技术应用</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rPr>
              <w:t>推动智能建造技术应用</w:t>
            </w:r>
          </w:p>
        </w:tc>
        <w:tc>
          <w:tcPr>
            <w:tcW w:w="11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5</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涪陵区以政府投资项目和市级智能建造试点项目为抓手，重点推广应用ALC条板运输机器人、安装机器人等智能装备，累计实施建筑面积超7000万平方米，有力推动智能建造技术在工程实际中的规模化应用。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6</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巴南区印发《关于进一步推进智能建造与绿色建筑发展及强化深化设计管理工作的通知》，推动全区政府投资项目逐步采用智能建造模式，明确根据项目规模应用建筑机器人2类以上，并将技术应用情况纳入项目实施各阶段管理和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7.两江新区</w:t>
            </w:r>
            <w:r>
              <w:rPr>
                <w:rFonts w:hint="eastAsia" w:ascii="方正仿宋_GBK" w:hAnsi="方正仿宋_GBK" w:eastAsia="方正仿宋_GBK" w:cs="方正仿宋_GBK"/>
                <w:sz w:val="28"/>
                <w:szCs w:val="28"/>
                <w:vertAlign w:val="baseline"/>
                <w:lang w:val="en-US" w:eastAsia="zh-CN"/>
              </w:rPr>
              <w:t>推动政府投资及国有平台项目率先试点应用建筑机器人，将智能建造技术应用纳入市级安全文明工地、三峡杯优质结构工程奖等评选条件。依托重庆市智能建造与建筑机器人产业中心，构建“产业工人+建筑机器人”协同作业新模式，促进建筑机器人在工程项目中的规模化应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8</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荣昌区支持积木智能建造科</w:t>
            </w:r>
            <w:r>
              <w:rPr>
                <w:rFonts w:hint="eastAsia" w:ascii="方正仿宋_GBK" w:hAnsi="方正仿宋_GBK" w:eastAsia="方正仿宋_GBK" w:cs="方正仿宋_GBK"/>
                <w:sz w:val="28"/>
                <w:szCs w:val="28"/>
                <w:vertAlign w:val="baseline"/>
                <w:lang w:val="en-US" w:eastAsia="zh-CN"/>
              </w:rPr>
              <w:t>技（重庆）有限责任公司在海棠新城等工程项目中应用墙板安装机器人、测量机器人等智能装备，创新推行“智能装备+科技劳务”建造模式，积极探索建筑工业化与数字化融合发展的新路径。</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9</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筑邦建筑技术（重庆）有限公司构建涵盖生产、安装与施工全过程的装配式构件一体化智能建造新模式，核心应用自主研发的智能墙板安装机器人，集成高精度传感器与智能算法，可实现墙板的自动抓取、举升与毫米级精确定位，安装效率达到人工的3倍</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结合墙板榫卯结构与专用卡件体系，实现装配式干法施工，大幅减少现场建筑垃圾（超过70%）。</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10</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重庆设计集团有限公司市政设计研究院自主研发市政工程全过程管理平台，采用</w:t>
            </w:r>
            <w:r>
              <w:rPr>
                <w:rFonts w:hint="eastAsia" w:ascii="方正仿宋_GBK" w:hAnsi="方正仿宋_GBK" w:eastAsia="方正仿宋_GBK" w:cs="方正仿宋_GBK"/>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1</w:t>
            </w:r>
            <w:r>
              <w:rPr>
                <w:rFonts w:hint="eastAsia" w:ascii="方正仿宋_GBK" w:hAnsi="方正仿宋_GBK" w:eastAsia="方正仿宋_GBK" w:cs="方正仿宋_GBK"/>
                <w:sz w:val="28"/>
                <w:szCs w:val="28"/>
                <w:vertAlign w:val="baseline"/>
                <w:lang w:val="en-US" w:eastAsia="zh-CN"/>
              </w:rPr>
              <w:t>个基础平台+</w:t>
            </w:r>
            <w:r>
              <w:rPr>
                <w:rFonts w:hint="default" w:ascii="Times New Roman" w:hAnsi="Times New Roman" w:eastAsia="方正仿宋_GBK" w:cs="Times New Roman"/>
                <w:sz w:val="28"/>
                <w:szCs w:val="28"/>
                <w:vertAlign w:val="baseline"/>
                <w:lang w:val="en-US" w:eastAsia="zh-CN"/>
              </w:rPr>
              <w:t>18</w:t>
            </w:r>
            <w:r>
              <w:rPr>
                <w:rFonts w:hint="eastAsia" w:ascii="方正仿宋_GBK" w:hAnsi="方正仿宋_GBK" w:eastAsia="方正仿宋_GBK" w:cs="方正仿宋_GBK"/>
                <w:sz w:val="28"/>
                <w:szCs w:val="28"/>
                <w:vertAlign w:val="baseline"/>
                <w:lang w:val="en-US" w:eastAsia="zh-CN"/>
              </w:rPr>
              <w:t>个应用模块+移动端”总体架构，</w:t>
            </w:r>
            <w:r>
              <w:rPr>
                <w:rFonts w:hint="default" w:ascii="Times New Roman" w:hAnsi="Times New Roman" w:eastAsia="方正仿宋_GBK" w:cs="Times New Roman"/>
                <w:sz w:val="28"/>
                <w:szCs w:val="28"/>
                <w:vertAlign w:val="baseline"/>
                <w:lang w:val="en-US" w:eastAsia="zh-CN"/>
              </w:rPr>
              <w:t>功能覆盖前期报建、人员管理、质量安全、进度控制、计量支付、档案资产等关键环节，具备良好的可扩展性与可复用性，已在两江新区-长寿区快速通道、璧山曙光湖智造城等项目成功应用，可提升综合管理效率15%以上，可降低项目管理成本10%-15%，驱动市政工程全生命周期管理模式的智能化升级。</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11</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林同棪国际工程咨询（中国）有限公司推动城市地下综合管廊安全管理及智慧化运维，依托市级一体化公共数据平台及物联感知系统，</w:t>
            </w:r>
            <w:r>
              <w:rPr>
                <w:rFonts w:hint="eastAsia" w:ascii="方正仿宋_GBK" w:hAnsi="方正仿宋_GBK" w:eastAsia="方正仿宋_GBK" w:cs="方正仿宋_GBK"/>
                <w:sz w:val="28"/>
                <w:szCs w:val="28"/>
                <w:vertAlign w:val="baseline"/>
                <w:lang w:val="en-US" w:eastAsia="zh-CN"/>
              </w:rPr>
              <w:t>结合“数字孪生+虚拟巡检”技术，</w:t>
            </w:r>
            <w:r>
              <w:rPr>
                <w:rFonts w:hint="default" w:ascii="Times New Roman" w:hAnsi="Times New Roman" w:eastAsia="方正仿宋_GBK" w:cs="Times New Roman"/>
                <w:sz w:val="28"/>
                <w:szCs w:val="28"/>
                <w:vertAlign w:val="baseline"/>
                <w:lang w:val="en-US" w:eastAsia="zh-CN"/>
              </w:rPr>
              <w:t>部署搭载AI分析功能的挂轨式智能巡检机器人，</w:t>
            </w:r>
            <w:r>
              <w:rPr>
                <w:rFonts w:hint="eastAsia" w:ascii="方正仿宋_GBK" w:hAnsi="方正仿宋_GBK" w:eastAsia="方正仿宋_GBK" w:cs="方正仿宋_GBK"/>
                <w:sz w:val="28"/>
                <w:szCs w:val="28"/>
                <w:vertAlign w:val="baseline"/>
                <w:lang w:val="en-US" w:eastAsia="zh-CN"/>
              </w:rPr>
              <w:t>推动管廊运维从“被动应对”向“主动防控”转变。</w:t>
            </w:r>
            <w:r>
              <w:rPr>
                <w:rFonts w:hint="default" w:ascii="Times New Roman" w:hAnsi="Times New Roman" w:eastAsia="方正仿宋_GBK" w:cs="Times New Roman"/>
                <w:sz w:val="28"/>
                <w:szCs w:val="28"/>
                <w:vertAlign w:val="baseline"/>
                <w:lang w:val="en-US" w:eastAsia="zh-CN"/>
              </w:rPr>
              <w:t>已在重庆高新区科学大道综合管廊1.6公里核心区部署应用，实现全域感知、智能预警、闭环处置与精细化运维全覆盖。管廊核心风险预警准确率达99%，问题处置效率提升60%以上；智能巡检替代70%人工任务，运维成本降低15%，设备完好率与环境达标率均达98%以上，且未发生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三</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实施智能建造项目建设</w:t>
            </w:r>
          </w:p>
        </w:tc>
        <w:tc>
          <w:tcPr>
            <w:tcW w:w="11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12</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中建三局集团有限公司、中建三局（重庆）城建有限公司实施两江新区中医院迁建项目工程（一期），建立智能建造指挥中心，采用BIM技术正向设计、5G远程控制塔机、管道检测机器人、地坪研磨机器人等技术装备，缩短施工图设计及建模周期30%，有效降低10%材料损耗、节约现场空间30%，装配式消防水泵房施工作业效率由常规工艺20天缩短至3天，</w:t>
            </w:r>
            <w:r>
              <w:rPr>
                <w:rFonts w:hint="eastAsia" w:ascii="方正仿宋_GBK" w:hAnsi="方正仿宋_GBK" w:eastAsia="方正仿宋_GBK" w:cs="方正仿宋_GBK"/>
                <w:sz w:val="28"/>
                <w:szCs w:val="28"/>
                <w:vertAlign w:val="baseline"/>
                <w:lang w:val="en-US" w:eastAsia="zh-CN"/>
              </w:rPr>
              <w:t>实现工人“一看就懂”，平均交底时间缩</w:t>
            </w:r>
            <w:r>
              <w:rPr>
                <w:rFonts w:hint="default" w:ascii="Times New Roman" w:hAnsi="Times New Roman" w:eastAsia="方正仿宋_GBK" w:cs="Times New Roman"/>
                <w:sz w:val="28"/>
                <w:szCs w:val="28"/>
                <w:vertAlign w:val="baseline"/>
                <w:lang w:val="en-US" w:eastAsia="zh-CN"/>
              </w:rPr>
              <w:t>短50%。</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13</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棪创数智科技（重庆）有限公司、重庆科学城城市建设集团有限公司实施重庆科学城电子信息产业孵化园（科学谷），</w:t>
            </w:r>
            <w:r>
              <w:rPr>
                <w:rFonts w:hint="eastAsia" w:ascii="方正仿宋_GBK" w:hAnsi="方正仿宋_GBK" w:eastAsia="方正仿宋_GBK" w:cs="方正仿宋_GBK"/>
                <w:sz w:val="28"/>
                <w:szCs w:val="28"/>
                <w:vertAlign w:val="baseline"/>
                <w:lang w:val="en-US" w:eastAsia="zh-CN"/>
              </w:rPr>
              <w:t>采用“数智化+全过程工程咨询”模式，</w:t>
            </w:r>
            <w:r>
              <w:rPr>
                <w:rFonts w:hint="default" w:ascii="Times New Roman" w:hAnsi="Times New Roman" w:eastAsia="方正仿宋_GBK" w:cs="Times New Roman"/>
                <w:sz w:val="28"/>
                <w:szCs w:val="28"/>
                <w:vertAlign w:val="baseline"/>
                <w:lang w:val="en-US" w:eastAsia="zh-CN"/>
              </w:rPr>
              <w:t>集成BIM、无人机、</w:t>
            </w:r>
            <w:r>
              <w:rPr>
                <w:rFonts w:hint="eastAsia" w:ascii="方正仿宋_GBK" w:hAnsi="方正仿宋_GBK" w:eastAsia="方正仿宋_GBK" w:cs="方正仿宋_GBK"/>
                <w:sz w:val="28"/>
                <w:szCs w:val="28"/>
                <w:vertAlign w:val="baseline"/>
                <w:lang w:val="en-US" w:eastAsia="zh-CN"/>
              </w:rPr>
              <w:t>智能机器人等技术，通过数智化与“技术+管理”双轮驱动，</w:t>
            </w:r>
            <w:r>
              <w:rPr>
                <w:rFonts w:hint="default" w:ascii="Times New Roman" w:hAnsi="Times New Roman" w:eastAsia="方正仿宋_GBK" w:cs="Times New Roman"/>
                <w:sz w:val="28"/>
                <w:szCs w:val="28"/>
                <w:vertAlign w:val="baseline"/>
                <w:lang w:val="en-US" w:eastAsia="zh-CN"/>
              </w:rPr>
              <w:t>累计节省投资约1.61亿元。项目入选重庆市智能建造首批试点项目与绿色低碳典型案例，荣获住建部智能建造大赛一等奖、国际BIM大赛金奖等十余项国内外奖项。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14</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中海建筑有限公司实施重庆建筑工程职业学院东站校区建设项目（一期）工程，探索形成“带方案的装配式建筑EPC招</w:t>
            </w:r>
            <w:r>
              <w:rPr>
                <w:rFonts w:hint="eastAsia" w:ascii="方正仿宋_GBK" w:hAnsi="方正仿宋_GBK" w:eastAsia="方正仿宋_GBK" w:cs="方正仿宋_GBK"/>
                <w:sz w:val="28"/>
                <w:szCs w:val="28"/>
                <w:vertAlign w:val="baseline"/>
                <w:lang w:val="en-US" w:eastAsia="zh-CN"/>
              </w:rPr>
              <w:t>标”与“建筑工业化、智能建造技术协同发展”的新型全过程建造模式，推动</w:t>
            </w:r>
            <w:r>
              <w:rPr>
                <w:rFonts w:hint="default" w:ascii="Times New Roman" w:hAnsi="Times New Roman" w:eastAsia="方正仿宋_GBK" w:cs="Times New Roman"/>
                <w:sz w:val="28"/>
                <w:szCs w:val="28"/>
                <w:vertAlign w:val="baseline"/>
                <w:lang w:val="en-US" w:eastAsia="zh-CN"/>
              </w:rPr>
              <w:t>EPC总包方自前期方案设计</w:t>
            </w:r>
            <w:r>
              <w:rPr>
                <w:rFonts w:hint="eastAsia" w:ascii="方正仿宋_GBK" w:hAnsi="方正仿宋_GBK" w:eastAsia="方正仿宋_GBK" w:cs="方正仿宋_GBK"/>
                <w:sz w:val="28"/>
                <w:szCs w:val="28"/>
                <w:vertAlign w:val="baseline"/>
                <w:lang w:val="en-US" w:eastAsia="zh-CN"/>
              </w:rPr>
              <w:t>深度介入，充分发挥其设计、采购、施工一体化整合优势，通过“前端方案优化、过程动态调整、全流程协同”的全周期管控，实现方案更贴合实际、工期更紧凑、造价更可控、全专业融合更高效。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四</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default" w:ascii="Times New Roman" w:hAnsi="Times New Roman" w:eastAsia="方正仿宋_GBK" w:cs="Times New Roman"/>
                <w:sz w:val="28"/>
                <w:szCs w:val="28"/>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default" w:ascii="Times New Roman" w:hAnsi="Times New Roman" w:eastAsia="方正仿宋_GBK" w:cs="Times New Roman"/>
                <w:sz w:val="28"/>
                <w:szCs w:val="28"/>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方正仿宋_GBK" w:cs="Times New Roman"/>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方正仿宋_GBK" w:cs="Times New Roman"/>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方正仿宋_GBK" w:cs="Times New Roman"/>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方正仿宋_GBK" w:cs="Times New Roman"/>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方正仿宋_GBK" w:cs="Times New Roman"/>
                <w:kern w:val="2"/>
                <w:sz w:val="28"/>
                <w:szCs w:val="28"/>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四</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引育智能建造产业发展</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rPr>
              <w:t>引育智能建造产业发展</w:t>
            </w:r>
          </w:p>
        </w:tc>
        <w:tc>
          <w:tcPr>
            <w:tcW w:w="11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15</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涪陵区引进香港科技大学李泽湘教授团队，创建重庆智能建造研究院，通过天使投资成功孵化3家建筑机器人企业，自主研发出条板安装机器人、视觉位移计、智能远程挖掘机等10余款智能建造产品，</w:t>
            </w:r>
            <w:r>
              <w:rPr>
                <w:rFonts w:hint="eastAsia" w:ascii="方正仿宋_GBK" w:hAnsi="方正仿宋_GBK" w:eastAsia="方正仿宋_GBK" w:cs="方正仿宋_GBK"/>
                <w:sz w:val="28"/>
                <w:szCs w:val="28"/>
                <w:vertAlign w:val="baseline"/>
                <w:lang w:val="en-US" w:eastAsia="zh-CN"/>
              </w:rPr>
              <w:t>初步形成“研发-孵化-产业化”联动发展链条。</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16</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巴南区以数智产业</w:t>
            </w:r>
            <w:r>
              <w:rPr>
                <w:rFonts w:hint="eastAsia" w:ascii="方正仿宋_GBK" w:hAnsi="方正仿宋_GBK" w:eastAsia="方正仿宋_GBK" w:cs="方正仿宋_GBK"/>
                <w:sz w:val="28"/>
                <w:szCs w:val="28"/>
                <w:vertAlign w:val="baseline"/>
                <w:lang w:val="en-US" w:eastAsia="zh-CN"/>
              </w:rPr>
              <w:t>园“新型显示+大数据+智能制造”产业为基础，重点</w:t>
            </w:r>
            <w:r>
              <w:rPr>
                <w:rFonts w:hint="default" w:ascii="Times New Roman" w:hAnsi="Times New Roman" w:eastAsia="方正仿宋_GBK" w:cs="Times New Roman"/>
                <w:sz w:val="28"/>
                <w:szCs w:val="28"/>
                <w:vertAlign w:val="baseline"/>
                <w:lang w:val="en-US" w:eastAsia="zh-CN"/>
              </w:rPr>
              <w:t>培育智慧家居、建筑业大数据等智能建造产业，累计推动10个项目入选市级试点项目，培育3家试点企业，引导5家企业在设计、生产、施工全链条集成应用智能建造技术，形成示范带动、产业联动的发展格局。</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17</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两江新区引导远海建工（集团）有限公司联合相关单位共建重庆市智能建造与建筑机器人产业中心，整合技术研发、装备制造、场景应用、推广服务、租赁运维等全链条资源，促进产业协同与集聚发展。推动企业建设实训基地，开展培训、研讨与技能竞赛，深化校企合作，促进人才交流与能力提升，形成“平台支撑、活动引领、实训赋能”的融合发展模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18</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北碚区依托传感器产业园、工业互联网生态产业园等载体，重点培育中铁建重庆建筑科技有限公司、重庆富普节能材料有限公司等工业化生产企业，以及重庆精金机器人有限公司等建筑机器人研发制造企业，并积极引进中铁二十二局智能建造公司等优质项目。</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19</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大渡口区聚焦智能机器人产业赛道，积极对接博匠科技等行业龙头企业，通过高频次、多层次洽谈，整合政产学研资源，提供全流程定制服务，推动项目快速落地，实现产业链闭环发展。</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rPr>
              <w:t>20</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重庆智能建造研究院有限公司</w:t>
            </w:r>
            <w:r>
              <w:rPr>
                <w:rFonts w:hint="eastAsia" w:ascii="方正仿宋_GBK" w:hAnsi="方正仿宋_GBK" w:eastAsia="方正仿宋_GBK" w:cs="方正仿宋_GBK"/>
                <w:sz w:val="28"/>
                <w:szCs w:val="28"/>
                <w:vertAlign w:val="baseline"/>
                <w:lang w:val="en-US" w:eastAsia="zh-CN"/>
              </w:rPr>
              <w:t>构建“三位一体”系统集成模式，</w:t>
            </w:r>
            <w:r>
              <w:rPr>
                <w:rFonts w:hint="default" w:ascii="Times New Roman" w:hAnsi="Times New Roman" w:eastAsia="方正仿宋_GBK" w:cs="Times New Roman"/>
                <w:sz w:val="28"/>
                <w:szCs w:val="28"/>
                <w:vertAlign w:val="baseline"/>
                <w:lang w:val="en-US" w:eastAsia="zh-CN"/>
              </w:rPr>
              <w:t>打造智能建造整体解决方案供应商，自研智能建造装备已在多省市工程项目中应用，系统集成业务合同额超5500万元。联合政府部门设立全国首支5000万元规模的智能建造产业天使投资基金，通过股权投资、招商引进等多种方式，在涪陵区成功引育卓蚁科技、八步科技等10余家智能建造企业，培育孵化9个专业技术团队，业务覆盖内墙处理、外立面检测、地坪漆涂敷、钢筋智能深化等多个方向，初步形成涵盖机器人研发、系统集成、检测维保等环节的产业矩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rPr>
              <w:t>五</w:t>
            </w:r>
          </w:p>
        </w:tc>
        <w:tc>
          <w:tcPr>
            <w:tcW w:w="139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rPr>
              <w:t>培养智能建造专业人才</w:t>
            </w:r>
          </w:p>
        </w:tc>
        <w:tc>
          <w:tcPr>
            <w:tcW w:w="1199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21</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涪陵区推动重庆智能建造研究院与高校合作开设科创班、产业学院，累计招生超过200人。建成建筑机器人实训基地并开展多批次培训，为智能建造推广应用储备专业技术力量。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22</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巴南区组建由156名高、中级工程师构成的智能建造专家智库，推动重庆工程学院开设智能建造专业，2025年招生133人，并与智能建造机器人实训基地深化合作，组织开展10余次项目机器人操作实习，提升学生实践能力。</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sz w:val="28"/>
                <w:szCs w:val="28"/>
                <w:vertAlign w:val="baseline"/>
                <w:lang w:val="en-US" w:eastAsia="zh-CN"/>
              </w:rPr>
              <w:t>23</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大渡口区组织50余名企业及部门负责人在清华大学</w:t>
            </w:r>
            <w:r>
              <w:rPr>
                <w:rFonts w:hint="eastAsia" w:ascii="方正仿宋_GBK" w:hAnsi="方正仿宋_GBK" w:eastAsia="方正仿宋_GBK" w:cs="方正仿宋_GBK"/>
                <w:sz w:val="28"/>
                <w:szCs w:val="28"/>
                <w:vertAlign w:val="baseline"/>
                <w:lang w:val="en-US" w:eastAsia="zh-CN"/>
              </w:rPr>
              <w:t>举办“智能建造助推建筑业高质量发展”专题培训班，开展为期一周的集中研修。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六</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强化智能建造宣传推广</w:t>
            </w:r>
          </w:p>
        </w:tc>
        <w:tc>
          <w:tcPr>
            <w:tcW w:w="11999"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24</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涪陵区通过举办产业创新大会、建筑机器人大赛等系列活动，获得市领导现场指导与肯定批示。依托重庆智能建造研究院组织开展技术沙龙、现场观摩会，吸引行业近千人参与，相关活动获媒体宣传报道，有效提升智能建造社会认知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25</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val="en-US" w:eastAsia="zh-CN"/>
              </w:rPr>
              <w:t>荣昌区支持筑邦建筑技术（重庆）有限公司构建</w:t>
            </w:r>
            <w:r>
              <w:rPr>
                <w:rFonts w:hint="eastAsia" w:ascii="方正仿宋_GBK" w:hAnsi="方正仿宋_GBK" w:eastAsia="方正仿宋_GBK" w:cs="方正仿宋_GBK"/>
                <w:sz w:val="28"/>
                <w:szCs w:val="28"/>
                <w:vertAlign w:val="baseline"/>
                <w:lang w:val="en-US" w:eastAsia="zh-CN"/>
              </w:rPr>
              <w:t>“线上+线下”全矩阵宣传体系，依托微信公众号、抖音等媒体平台开展智能建造技术推广，组织企业积极参与海外行业展会，推动与沙特、阿联酋等中东地区企业和政府对接，助力重庆智能建造技术“走出去”。</w:t>
            </w:r>
          </w:p>
        </w:tc>
      </w:tr>
    </w:tbl>
    <w:p>
      <w:pPr>
        <w:rPr>
          <w:rFonts w:hint="default"/>
          <w:lang w:val="en-US" w:eastAsia="zh-CN"/>
        </w:rPr>
      </w:pPr>
      <w:bookmarkStart w:id="3" w:name="_GoBack"/>
      <w:bookmarkEnd w:id="3"/>
    </w:p>
    <w:sectPr>
      <w:footerReference r:id="rId3" w:type="default"/>
      <w:footerReference r:id="rId4" w:type="even"/>
      <w:pgSz w:w="16838" w:h="11906" w:orient="landscape"/>
      <w:pgMar w:top="1531" w:right="2098" w:bottom="1531" w:left="1984"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彩虹粗仿宋">
    <w:altName w:val="方正仿宋_GBK"/>
    <w:panose1 w:val="00000000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337F8"/>
    <w:rsid w:val="01973B44"/>
    <w:rsid w:val="01A93186"/>
    <w:rsid w:val="021D0546"/>
    <w:rsid w:val="028440C8"/>
    <w:rsid w:val="03661A20"/>
    <w:rsid w:val="037B196F"/>
    <w:rsid w:val="04EB5734"/>
    <w:rsid w:val="0530521E"/>
    <w:rsid w:val="06AF1E70"/>
    <w:rsid w:val="07273B0E"/>
    <w:rsid w:val="0732424B"/>
    <w:rsid w:val="0734616B"/>
    <w:rsid w:val="07C66F31"/>
    <w:rsid w:val="086C7AD9"/>
    <w:rsid w:val="08AE286A"/>
    <w:rsid w:val="099B354D"/>
    <w:rsid w:val="0A4F15F8"/>
    <w:rsid w:val="0B156057"/>
    <w:rsid w:val="0BAC7F4B"/>
    <w:rsid w:val="0C570378"/>
    <w:rsid w:val="0C7358DA"/>
    <w:rsid w:val="0DCB0189"/>
    <w:rsid w:val="0F9A2B0C"/>
    <w:rsid w:val="1249267E"/>
    <w:rsid w:val="124D4F1A"/>
    <w:rsid w:val="126C0647"/>
    <w:rsid w:val="156D6C3E"/>
    <w:rsid w:val="16173043"/>
    <w:rsid w:val="166E2C6E"/>
    <w:rsid w:val="16B2250C"/>
    <w:rsid w:val="16D409A0"/>
    <w:rsid w:val="19D379B8"/>
    <w:rsid w:val="1C202C5C"/>
    <w:rsid w:val="1CEC52D0"/>
    <w:rsid w:val="1DD94135"/>
    <w:rsid w:val="1E004385"/>
    <w:rsid w:val="1E4470D6"/>
    <w:rsid w:val="1E5D3B29"/>
    <w:rsid w:val="1E84704D"/>
    <w:rsid w:val="1F1338DC"/>
    <w:rsid w:val="1FD00079"/>
    <w:rsid w:val="204B18AE"/>
    <w:rsid w:val="20E45634"/>
    <w:rsid w:val="21132D8F"/>
    <w:rsid w:val="21771570"/>
    <w:rsid w:val="21CE6447"/>
    <w:rsid w:val="2366364A"/>
    <w:rsid w:val="244F40DF"/>
    <w:rsid w:val="24F442B2"/>
    <w:rsid w:val="254479BB"/>
    <w:rsid w:val="256E4BBB"/>
    <w:rsid w:val="258C39CF"/>
    <w:rsid w:val="259C4CC6"/>
    <w:rsid w:val="25E31372"/>
    <w:rsid w:val="25E62821"/>
    <w:rsid w:val="263B289B"/>
    <w:rsid w:val="275E21C4"/>
    <w:rsid w:val="27AA4A36"/>
    <w:rsid w:val="28790C2C"/>
    <w:rsid w:val="29345C93"/>
    <w:rsid w:val="296D1D39"/>
    <w:rsid w:val="29AE44F0"/>
    <w:rsid w:val="2A353A89"/>
    <w:rsid w:val="2AA17E19"/>
    <w:rsid w:val="2AFA28CA"/>
    <w:rsid w:val="2D541DEC"/>
    <w:rsid w:val="2DF5474E"/>
    <w:rsid w:val="2EAC7FA2"/>
    <w:rsid w:val="2F993BF0"/>
    <w:rsid w:val="2FA86D99"/>
    <w:rsid w:val="31077939"/>
    <w:rsid w:val="320E382B"/>
    <w:rsid w:val="322B3939"/>
    <w:rsid w:val="3281224F"/>
    <w:rsid w:val="32AE2918"/>
    <w:rsid w:val="362F1321"/>
    <w:rsid w:val="37A91900"/>
    <w:rsid w:val="37AA426C"/>
    <w:rsid w:val="39EC7FCE"/>
    <w:rsid w:val="3B157D5F"/>
    <w:rsid w:val="3BAE09F6"/>
    <w:rsid w:val="3D2365F6"/>
    <w:rsid w:val="3D5618B6"/>
    <w:rsid w:val="3E622809"/>
    <w:rsid w:val="3F0062A9"/>
    <w:rsid w:val="3F256385"/>
    <w:rsid w:val="3FE756BB"/>
    <w:rsid w:val="406C73DA"/>
    <w:rsid w:val="40D07434"/>
    <w:rsid w:val="41263FC1"/>
    <w:rsid w:val="4142704D"/>
    <w:rsid w:val="4152120A"/>
    <w:rsid w:val="416B7C26"/>
    <w:rsid w:val="42EF3669"/>
    <w:rsid w:val="442074A4"/>
    <w:rsid w:val="442A466C"/>
    <w:rsid w:val="45E71F71"/>
    <w:rsid w:val="467F6F4B"/>
    <w:rsid w:val="46FA5CD4"/>
    <w:rsid w:val="47365C91"/>
    <w:rsid w:val="47E55BC7"/>
    <w:rsid w:val="48DA2F3C"/>
    <w:rsid w:val="497A3A45"/>
    <w:rsid w:val="4A541FE2"/>
    <w:rsid w:val="4B2B079A"/>
    <w:rsid w:val="4B905AD0"/>
    <w:rsid w:val="4C211790"/>
    <w:rsid w:val="4CF51418"/>
    <w:rsid w:val="4D806220"/>
    <w:rsid w:val="4D8A13A0"/>
    <w:rsid w:val="4E492FF1"/>
    <w:rsid w:val="4EFF657E"/>
    <w:rsid w:val="4F082F58"/>
    <w:rsid w:val="50956E15"/>
    <w:rsid w:val="509E5354"/>
    <w:rsid w:val="5297000D"/>
    <w:rsid w:val="539911AF"/>
    <w:rsid w:val="55CC1183"/>
    <w:rsid w:val="56AF02AF"/>
    <w:rsid w:val="583A3F8F"/>
    <w:rsid w:val="585A2280"/>
    <w:rsid w:val="585B234B"/>
    <w:rsid w:val="59077336"/>
    <w:rsid w:val="591C1A4A"/>
    <w:rsid w:val="5ADE1096"/>
    <w:rsid w:val="5B8A71CF"/>
    <w:rsid w:val="5BCA4D40"/>
    <w:rsid w:val="5CE617FB"/>
    <w:rsid w:val="5DB3551B"/>
    <w:rsid w:val="5DD10F1E"/>
    <w:rsid w:val="5E53591E"/>
    <w:rsid w:val="5E85269D"/>
    <w:rsid w:val="5EB53D41"/>
    <w:rsid w:val="5F166FCB"/>
    <w:rsid w:val="5FB64CFE"/>
    <w:rsid w:val="608E33AC"/>
    <w:rsid w:val="614D31AE"/>
    <w:rsid w:val="61AF4917"/>
    <w:rsid w:val="61DF22A1"/>
    <w:rsid w:val="63941373"/>
    <w:rsid w:val="66B30989"/>
    <w:rsid w:val="68C703C0"/>
    <w:rsid w:val="69716E8C"/>
    <w:rsid w:val="698D51E2"/>
    <w:rsid w:val="69B144C0"/>
    <w:rsid w:val="6A3D2070"/>
    <w:rsid w:val="6AF075B7"/>
    <w:rsid w:val="6B365647"/>
    <w:rsid w:val="6E3631E6"/>
    <w:rsid w:val="6E6A7CE1"/>
    <w:rsid w:val="709B5583"/>
    <w:rsid w:val="70A13AD6"/>
    <w:rsid w:val="722B4CF6"/>
    <w:rsid w:val="73013DC3"/>
    <w:rsid w:val="73BF214C"/>
    <w:rsid w:val="746F7452"/>
    <w:rsid w:val="74C57EB4"/>
    <w:rsid w:val="74E74BD4"/>
    <w:rsid w:val="74EF0F25"/>
    <w:rsid w:val="753D3F4E"/>
    <w:rsid w:val="76796366"/>
    <w:rsid w:val="77446593"/>
    <w:rsid w:val="777E2AB0"/>
    <w:rsid w:val="7876783F"/>
    <w:rsid w:val="78BE47EA"/>
    <w:rsid w:val="79F006ED"/>
    <w:rsid w:val="7A5E628D"/>
    <w:rsid w:val="7B72200D"/>
    <w:rsid w:val="7C1D5BD6"/>
    <w:rsid w:val="7E0A3EBA"/>
    <w:rsid w:val="7E4D368E"/>
    <w:rsid w:val="7EB9175F"/>
    <w:rsid w:val="7EE83F83"/>
    <w:rsid w:val="7F997DF9"/>
    <w:rsid w:val="7F9E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unhideWhenUsed/>
    <w:qFormat/>
    <w:uiPriority w:val="0"/>
    <w:pPr>
      <w:widowControl w:val="0"/>
      <w:spacing w:after="120"/>
      <w:ind w:left="420" w:leftChars="200" w:firstLine="420" w:firstLineChars="200"/>
      <w:jc w:val="both"/>
    </w:pPr>
    <w:rPr>
      <w:rFonts w:ascii="Times New Roman" w:hAnsi="Times New Roman" w:eastAsia="方正仿宋_GBK" w:cs="Times New Roman"/>
      <w:kern w:val="2"/>
      <w:sz w:val="32"/>
      <w:lang w:val="en-US" w:eastAsia="zh-CN" w:bidi="ar-SA"/>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1275</Words>
  <Characters>1316</Characters>
  <Lines>0</Lines>
  <Paragraphs>0</Paragraphs>
  <TotalTime>0</TotalTime>
  <ScaleCrop>false</ScaleCrop>
  <LinksUpToDate>false</LinksUpToDate>
  <CharactersWithSpaces>1326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2026-02-05T01:31:00Z</dcterms:created>
  <dc:creator>Administrator</dc:creator>
  <cp:lastModifiedBy>xsf</cp:lastModifiedBy>
  <cp:lastPrinted>2026-02-11T02:10:00Z</cp:lastPrinted>
  <dcterms:modified xsi:type="dcterms:W3CDTF">2026-05-18T07:55:58Z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eyJoZGlkIjoiYjBkM2IxOGYyYTc4ODFkMTc1OTViZWVmMWE3MDE0YWEiLCJ1c2VySWQiOiI0MjgxMzg0ODIifQ==</vt:lpwstr>
  </property>
  <property fmtid="{D5CDD505-2E9C-101B-9397-08002B2CF9AE}" pid="4" name="ICV">
    <vt:lpwstr>0AD0894363B14A93A64C2CDFB683CF3A</vt:lpwstr>
  </property>
</Properties>
</file>